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284"/>
        <w:jc w:val="right"/>
        <w:rPr>
          <w:rFonts w:ascii="Times New Roman" w:hAnsi="Times New Roman" w:eastAsia="Calibri" w:cs="Times New Roman"/>
          <w:b/>
          <w:sz w:val="18"/>
          <w:szCs w:val="18"/>
        </w:rPr>
      </w:pPr>
      <w:r>
        <w:rPr>
          <w:rFonts w:ascii="Times New Roman" w:hAnsi="Times New Roman" w:eastAsia="Calibri" w:cs="Times New Roman"/>
          <w:b/>
          <w:sz w:val="18"/>
          <w:szCs w:val="18"/>
        </w:rPr>
        <w:t>Форма 4 УК, ТСЖ, ТСН</w:t>
      </w:r>
    </w:p>
    <w:p>
      <w:pPr>
        <w:spacing w:after="0" w:line="240" w:lineRule="auto"/>
        <w:ind w:firstLine="284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ДОГОВОР №</w:t>
      </w:r>
    </w:p>
    <w:p>
      <w:pPr>
        <w:spacing w:after="0" w:line="240" w:lineRule="auto"/>
        <w:ind w:firstLine="284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>
      <w:pPr>
        <w:spacing w:after="0" w:line="240" w:lineRule="auto"/>
        <w:ind w:hanging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  </w:t>
      </w:r>
    </w:p>
    <w:p>
      <w:pPr>
        <w:pStyle w:val="20"/>
        <w:ind w:left="-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г. Красноярск                                                                                                                             «___»____________202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bookmarkStart w:id="8" w:name="_GoBack"/>
      <w:bookmarkEnd w:id="8"/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>
      <w:pPr>
        <w:pStyle w:val="20"/>
        <w:ind w:left="-284"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2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b/>
          <w:sz w:val="20"/>
          <w:szCs w:val="20"/>
        </w:rPr>
        <w:t>Рециклинговая Компания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именуемое в дальнейшем</w:t>
      </w:r>
      <w:r>
        <w:rPr>
          <w:rFonts w:ascii="Times New Roman" w:hAnsi="Times New Roman" w:cs="Times New Roman"/>
          <w:b/>
          <w:sz w:val="20"/>
          <w:szCs w:val="20"/>
        </w:rPr>
        <w:t xml:space="preserve"> «Региональный оператор», </w:t>
      </w:r>
      <w:r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r>
        <w:rPr>
          <w:rFonts w:ascii="Times New Roman" w:hAnsi="Times New Roman" w:cs="Times New Roman"/>
          <w:sz w:val="20"/>
          <w:szCs w:val="20"/>
          <w:lang w:val="ru-RU"/>
        </w:rPr>
        <w:t>Бизяевой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Татьяны Викторовны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>
      <w:pPr>
        <w:pStyle w:val="20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_____________________________________________________________________,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организации) </w:t>
      </w:r>
    </w:p>
    <w:p>
      <w:pPr>
        <w:pStyle w:val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«Исполнитель», в лице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>
      <w:pPr>
        <w:pStyle w:val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>
      <w:pPr>
        <w:pStyle w:val="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наименование должности)</w:t>
      </w:r>
    </w:p>
    <w:p>
      <w:pPr>
        <w:pStyle w:val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_____________________________________________________________________,</w:t>
      </w:r>
    </w:p>
    <w:p>
      <w:pPr>
        <w:pStyle w:val="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>
      <w:pPr>
        <w:pStyle w:val="20"/>
        <w:contextualSpacing/>
        <w:jc w:val="both"/>
        <w:rPr>
          <w:rFonts w:ascii="PF Din Text Cond Pro" w:hAnsi="PF Din Text Cond Pro" w:eastAsia="Calibri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заключили настоящий Договор о нижеследующем: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1. Термины и определения, используемые в настоящем Договоре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 w:eastAsia="Calibri" w:cs="Times New Roman"/>
          <w:sz w:val="20"/>
          <w:szCs w:val="20"/>
        </w:rPr>
        <w:t xml:space="preserve"> (далее – </w:t>
      </w:r>
      <w:r>
        <w:rPr>
          <w:rFonts w:ascii="Times New Roman" w:hAnsi="Times New Roman" w:eastAsia="Calibri" w:cs="Times New Roman"/>
          <w:b/>
          <w:sz w:val="20"/>
          <w:szCs w:val="20"/>
        </w:rPr>
        <w:t>ТКО</w:t>
      </w:r>
      <w:r>
        <w:rPr>
          <w:rFonts w:ascii="Times New Roman" w:hAnsi="Times New Roman" w:eastAsia="Calibri" w:cs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 w:eastAsia="Calibri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1.2. Крупногабаритные отходы</w:t>
      </w:r>
      <w:r>
        <w:rPr>
          <w:rFonts w:ascii="Times New Roman" w:hAnsi="Times New Roman" w:eastAsia="Calibri" w:cs="Times New Roman"/>
          <w:sz w:val="20"/>
          <w:szCs w:val="20"/>
        </w:rPr>
        <w:t xml:space="preserve"> - ТКО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1.3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. </w:t>
      </w: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Региональный оператор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1.4.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Исполнитель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– юридическое лицо, являющееся исполнителем коммунальной услуги по обращению с твердыми коммунальными отходами и обеспечивающее предоставление услуги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предоставления коммунальной услуги потребителям.</w:t>
      </w: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1.5.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>Потребитель</w:t>
      </w:r>
      <w:r>
        <w:rPr>
          <w:rFonts w:ascii="Times New Roman" w:hAnsi="Times New Roman" w:eastAsia="Calibri" w:cs="Times New Roman"/>
          <w:sz w:val="20"/>
          <w:szCs w:val="20"/>
        </w:rPr>
        <w:t xml:space="preserve"> – собственник помещения в многоквартирном доме, а также лицо, пользующееся на ином законном основании помещением в многоквартирном доме, потребляющее коммунальные услуги по обращению с твердыми коммунальными отходами.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1.6.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>Правила № 354</w:t>
      </w:r>
      <w:r>
        <w:rPr>
          <w:rFonts w:ascii="Times New Roman" w:hAnsi="Times New Roman" w:eastAsia="Calibri" w:cs="Times New Roman"/>
          <w:sz w:val="20"/>
          <w:szCs w:val="20"/>
        </w:rPr>
        <w:t xml:space="preserve"> - 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№ 354.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1.7. Правила № 505</w:t>
      </w:r>
      <w:r>
        <w:rPr>
          <w:rFonts w:ascii="Times New Roman" w:hAnsi="Times New Roman" w:eastAsia="Calibri" w:cs="Times New Roman"/>
          <w:sz w:val="20"/>
          <w:szCs w:val="20"/>
        </w:rPr>
        <w:t xml:space="preserve"> - «Правила коммерческого учета объема твердых коммунальных отходов», утвержденные Постановлением Правительства РФ от 03.06.2016 № 505.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pStyle w:val="21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Предмет Договора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2.1.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 и обеспечивать их транспортирование, обработку, обезвреживание, захоронение в соответствии с законодательством Российской Федерации, а Исполнитель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2.2.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2.3.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Вывоз крупногабаритных отходов осуществляется на основании письменных заявок Исполнителя.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2.4.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Способ складирования ТКО: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-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2.5.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Дата начала оказания услуг по обращению с ТКО: с «01» мая 2020 года.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2.6.</w:t>
      </w:r>
      <w:r>
        <w:rPr>
          <w:rFonts w:ascii="Times New Roman" w:hAnsi="Times New Roman" w:eastAsia="Calibri" w:cs="Times New Roman"/>
          <w:sz w:val="20"/>
          <w:szCs w:val="20"/>
        </w:rPr>
        <w:t xml:space="preserve">    Региональный оператор вправе по заявкам Потребителя – УК осуществлять вывоз отходов IV-V классов опасности, не относящихся к твердым бытовым отходам, оказание данных услуг не регулируется настоящим Договором, подлежит отдельному согласованию сторонами.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 Сроки и порядок оплаты по Договору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 xml:space="preserve">Под расчетным периодом по настоящему Договору понимается один календарный месяц.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3.2.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   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>Размер ежемесячной платы по Договору определяется по формуле: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= 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T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>),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>где: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>Т – единый тариф на услугу Регионального оператора;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– утвержденный в установленном порядке норматив накопления ТКО;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Calibri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– количество расчетных единиц, на которые установлен норматив накопления ТКО.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             </w:t>
      </w:r>
      <w:r>
        <w:rPr>
          <w:rFonts w:ascii="Times New Roman" w:hAnsi="Times New Roman" w:eastAsia="Calibri" w:cs="Times New Roman"/>
          <w:sz w:val="20"/>
          <w:szCs w:val="20"/>
        </w:rPr>
        <w:t>Наименование и количество расчетных единиц (n) определено в Приложении № 1 к Договору.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3.3.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Оплата услуг по обращению с ТКО осуществляется Исполнителем до 15 (пятнадцатого)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</w:t>
      </w:r>
    </w:p>
    <w:p>
      <w:pPr>
        <w:pStyle w:val="2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Если Исполнитель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3.5.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3.6.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 xml:space="preserve"> Изменение цены по настоящему Договору в случаях, установленных п. 3.5. настоящего Договора, производится без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 на услугу Регионального оператора и/или нормативов накопления ТКО Потребитель самостоятельно  получает из СМИ, на сайте Регионального оператора сайт: рк24.рф или сайтах Министерства экологии и рационального природопользования Красноярского края и Министерства тарифной политики Красноярского края, любой из способов признается сторонами надлежащим уведомлением.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FF0000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3.7.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вывоза дополнительных объемов ТКО (свыше установленного норматива накопления)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3.3 Договора.</w:t>
      </w:r>
    </w:p>
    <w:p>
      <w:pPr>
        <w:pStyle w:val="2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3.9.</w:t>
      </w:r>
      <w:r>
        <w:rPr>
          <w:rFonts w:ascii="Times New Roman" w:hAnsi="Times New Roman" w:eastAsia="Calibri" w:cs="Times New Roman"/>
          <w:sz w:val="20"/>
          <w:szCs w:val="20"/>
        </w:rPr>
        <w:t xml:space="preserve">    Региональный оператор предоставляет Исполнителю универсальный передаточный документ (далее – УПД), в котором отражается расчет ежемесячной платы по Договору.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3.10.</w:t>
      </w:r>
      <w:r>
        <w:rPr>
          <w:rFonts w:ascii="Times New Roman" w:hAnsi="Times New Roman" w:eastAsia="Calibri" w:cs="Times New Roman"/>
          <w:sz w:val="20"/>
          <w:szCs w:val="20"/>
        </w:rPr>
        <w:t xml:space="preserve"> Региональный оператор предоставляет Исполнителю 2 экземпляра УПД и счет, в срок до 5 числа месяца следующего за месяцем оказания услуг следующим способом: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1) посредством электронного документооборота с помощью специального интернет- сервиса (эл.почту, указанную в Разделе 13 настоящего Договора). Документы, переданные через электронный интернет-сервис (эл.почту, указанную в Разделе 13 настоящего Договора), будут считаться официальными и имеющие юридическую силу. </w:t>
      </w:r>
    </w:p>
    <w:p>
      <w:pPr>
        <w:pStyle w:val="20"/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2) в офисе Регионального оператора по адресу: </w:t>
      </w:r>
    </w:p>
    <w:p>
      <w:pPr>
        <w:pStyle w:val="2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Красноярский край, г. Лесосибирск, ул. Енисейская, д.25, зд.2, пом.3.</w:t>
      </w:r>
    </w:p>
    <w:p>
      <w:pPr>
        <w:pStyle w:val="2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Красноярский край, г. Канск, ул. Владимирская, 7, стр. 1.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В случае неполучения Исполнителем до 05 числа месяца УПД и счета в офисе Регионального оператора, данное не является основанием для неоплаты за оказанные услуги. Срок для подписания и возврата УПД Региональному оператору – не позднее 9 (девятого) числа месяца следующего за месяцем оказания услуг.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Если Исполнитель не получил в офисе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Исполнителем в срок, указанный в п. 3.3. настоящего Договора.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3.11.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 xml:space="preserve">При достижении сторонами согласия, оформленного дополнительным соглашением к Договору, Региональный оператор в оговоренные сроки направляет Исполнителю первичные бухгалтерские документы в электронном виде. 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3.15.</w:t>
      </w:r>
      <w:r>
        <w:rPr>
          <w:rFonts w:ascii="Times New Roman" w:hAnsi="Times New Roman" w:cs="Times New Roman"/>
          <w:sz w:val="20"/>
          <w:szCs w:val="20"/>
        </w:rPr>
        <w:t xml:space="preserve">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  <w:lang w:eastAsia="en-US"/>
        </w:rPr>
        <w:t>3.16.</w:t>
      </w:r>
      <w:r>
        <w:rPr>
          <w:rFonts w:ascii="Times New Roman" w:hAnsi="Times New Roman" w:eastAsia="Calibri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 w:eastAsia="Calibri" w:cs="Times New Roman"/>
          <w:sz w:val="20"/>
          <w:szCs w:val="20"/>
          <w:lang w:eastAsia="en-US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4. Бремя содержания контейнерных площадок и территории,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прилегающей к месту погрузки ТКО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4.1.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4.2.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Исполнитель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eastAsia="ru-RU" w:bidi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5.  Права и обязанности сторон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5.1.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Региональный оператор обязан: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а) принимать ТКО, в объеме и в месте, которые определены в Приложении №1 к настоящему Договору;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5.2.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Региональный оператор имеет право: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а) осуществлять контроль за учетом объема принятых твердых коммунальных отходов;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б) не принимать от Исполнителя отходы, не относящиеся к ТКО;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в) инициировать проведение сверки расчетов по настоящему Договору;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г) требовать от Исполнителя оплаты предоставленных Услуг, принятых в соответствии с условиями настоящего Договора;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д) запрашивать у Исполнителя информацию о наименовании, адресе, идентификационный номер налогоплательщика, основной государственный регистрационный номер, по гражданам информацию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 и иные документы, производить проверку достоверности предоставленных Исполнителем сведений, составлять акты;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5.3.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Исполнитель обязан: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а)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и договором, содержащим положения о предоставлении указанной коммунальной услуги;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б) не позднее трех рабочих дней с момента (даты) возникновения у Исполнителя законных оснований на осуществление деятельности по предоставлению коммунальной услуги в отношении многоквартирных домов, не вошедших в перечень объектов при заключении настоящего Договора (Приложения № 1 к Договору), уведомить об этом Регионального оператора, направить  протокол собрания собственников, договор управления многоквартирным домом, техническую документацию, сведения о собственниках нежилых помещений и другие документы, необходимые для исполнения условий настоящего Договора. Все изменения в приложения к настоящему Договору оформляются дополнительным соглашением;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в) самостоятельно или с привлечением других лиц осуществлять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г) производить в порядке, установленном действующим законодательством,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услугу, в том числе в связи с предоставлением коммунальной услуги по обращению с твердыми коммунальными отходами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д) в течение трех рабочих дней уведомлять Регионального оператора о принятии общим собранием собственников помещений в многоквартирном доме решения об изменении способа расчетов с предоставлением копий подтверждающих документов (протокол общего собрания собственников);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е)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отходами, задолженности Потребителя или переплаты им за коммунальную услугу по обращению с твердыми коммунальными отходами,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Исполнителя и печатью (при наличии);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ж) принимать в порядке и в сроки, определенные действующим законодательством, сообщения Потребителей о факте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з) вести учет жалоб (заявлений, обращений, требований, претензий) Потребителей на качество предоставления коммунальной услуги по обращению с твердыми коммунальными отходами, учет сроков и результатов их рассмотрения и исполнения, а также в течение трех  рабочих дней со дня получения жалобы (заявления, обращения, требования, претензии) направлять Потребителю ответ о ее удовлетворении либо об отказе в удовлетворении с указанием причин отказа;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и) информировать Потребителей в порядке и в определенные законодательством сроки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к)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десять рабочих дней до начала перерыва;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л) предоставить Потребителю (путем указания в договоре, содержащем положения о предоставлении коммунальной услуги по обращению с твердыми коммунальными отходами,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и на досках объявлений, расположенных в помещении Исполнителя в месте, доступном для всех Потребителей) следующую информацию: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- сведения об Исполнителе, предоставляющем коммунальную услугу-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Исполнителе;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фамилия, имя и отчество руководителя Исполнителя;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адреса и номера телефонов диспетчерской, аварийно-диспетчерской службы Исполнителя;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размеры тарифов (цен) на коммунальную услугу по обращению с твердыми коммунальными отходами и реквизиты нормативных правовых актов, которыми они установлены;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порядок и форму оплаты коммунальной услуги по обращению с твердыми коммунальными отходами, сведения о последствиях несвоевременного и (или) неполного внесения платы за коммунальную услугу;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показатели качества коммунальной услуги по обращению с твердыми коммунальными отходами, предельные сроки устранения аварий и иных нарушений порядка предоставления коммунальной услуги, установленные законодательством Российской Федерации, в том числе Правилами № 354;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информацию об обязанности Потребителя сообщать Исполнителю об изменении количества зарегистрированных граждан в жилом помещении;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м) не позднее трех рабочих дней с момента заключения настоящего Договора направить уведомления собственникам нежилых помещений в многоквартирном доме о необходимости заключения в письменной форме Договора на оказание услуг по обращению с твердыми коммунальными отходами непосредственно с Региональным оператором;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н) предоставлять любому Потребителю в течение трех рабочих дней со дня получения от него заявления информацию в письменной форме за запрашиваемые потребителем расчетные периоды о помесячных объемах твердых коммунальных отходов, образующихся в помещении в многоквартирном доме, и суммарном объеме твердых коммунальных отходов, образующихся в жилых и нежилых помещениях в многоквартирном доме,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отходов, установленных в местах накопления;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о) обеспечивать складирование Потребителями твердых коммунальных отходов в местах накопления твердых коммунальных отходов, определенных настоящим Договором, в соответствии с территориальной схемой обращения с отходами;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п) обеспечивать учет объема твердых коммунальных отходов в соответствии с Правилами № 505;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р) в случае выявления Региональным оператором дополнительных объемов ТКО, превышающих объем, установленный Приложением № 1 к Договору, направить представителя для фиксации данного факта;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с) подписать и возвратить направленный Региональным оператором акт о дополнительных объемах в течении 5 (пяти) дней с даты получения;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т) производить оплату по настоящему Договору в порядке, размере и сроки, которые определены настоящим Договором;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у)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ф) назначить лицо, ответственное за взаимодействие с Региональным оператором по вопросам исполнения настоящего Договора;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х) в случае расторжения Договора управления многоквартирным домом и прекращения обязательств по предоставлению коммунальной услуги по обращению с твердыми коммунальными отходами уведомить об этом Регионального оператора в течение 5 (пяти) рабочих дней с момента наступления указанного события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адресатом и произвести полный расчет за Услуги, исполнить иные возникшие до момента расторжения Договора обязательства, в том числе обязательства, возникшие вследствие применения мер ответственности за нарушение условий Договора.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При этом Исполнитель обязан представить Региональному оператору копию документа, свидетельствующего о выборе иного способа управления многоквартирным домом и подтверждающего прекращение действия Договора управления многоквартирным домом;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ц) предоставлять Региональному оператору не позднее 1 рабочего дня со дня получения запроса, информацию, указанную в подпункте д, пункта 5.2. Настоящего Договора.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ч) назначить лицо, ответственное за взаимодействие с Региональным оператором по вопросам исполнения настоящего Договора;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ш) не допускать попадания в состав ТКО мусора образующегося при капитальном ремонте и строительстве; горящих, горячих, раскаленных или тлеющих отходов, золы и прочих опасных отходов; тяжеловесных и крупногабаритных отходов; радиоактивных и медицинских отходов и иных запрещенных к приему на захоронение на полигонах ТКО, а так же снега и льда, осветительных приборов и ртутьсодержащих электрических ламп, батарей и аккумуляторов, а так же иных отходов, которые могут причинить вред жизни и здоровью лиц работающих на объекте размещения (захоронения) отходов, или нарушить режим их работы.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щ) постоянно расчищать (от снега, льда и любых посторонних предметов) подъезды (дорожное полотно) к контейнерным площадкам и контейнерные площадки. В случае, если подъезд к контейнерным площадкам Региональным оператором для сбора ТКО будет невозможен вследствие погодных условий или наличия препятствующих предметов на подъезде к площадке, Региональный оператор не несет ответственности за неоказание услуг.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э) ликвидировать места несанкционированного размещения ТКО на территории, прилегающей к многоквартирным домам, находящимся в управлении Исполнителя.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ю) нести иные обязанности, предусмотренные жилищным законодательством Российской Федерации, в том числе Правилами № 354 и настоящим Договором.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  <w:t>я)</w:t>
      </w:r>
      <w:r>
        <w:rPr>
          <w:rFonts w:ascii="Times New Roman" w:hAnsi="Times New Roman" w:eastAsia="Calibri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предоставить</w:t>
      </w:r>
      <w:r>
        <w:rPr>
          <w:rFonts w:ascii="Times New Roman" w:hAnsi="Times New Roman" w:eastAsia="Calibri" w:cs="Times New Roman"/>
          <w:sz w:val="20"/>
          <w:szCs w:val="20"/>
        </w:rPr>
        <w:t xml:space="preserve"> на основании ст.</w:t>
      </w:r>
      <w:r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  <w:t xml:space="preserve"> 73.</w:t>
      </w:r>
      <w:r>
        <w:fldChar w:fldCharType="begin"/>
      </w:r>
      <w:r>
        <w:instrText xml:space="preserve"> HYPERLINK "http://www.consultant.ru/document/cons_doc_LAW_34823/" \t "_blank" \h </w:instrText>
      </w:r>
      <w:r>
        <w:fldChar w:fldCharType="separate"/>
      </w:r>
      <w:r>
        <w:rPr>
          <w:rFonts w:ascii="Times New Roman" w:hAnsi="Times New Roman" w:eastAsia="SimSun;宋体" w:cs="Times New Roman"/>
          <w:kern w:val="2"/>
          <w:sz w:val="20"/>
          <w:szCs w:val="20"/>
          <w:highlight w:val="white"/>
          <w:lang w:eastAsia="zh-CN" w:bidi="hi-IN"/>
        </w:rPr>
        <w:t>Федерального закона от 10.01.2002 № 7-ФЗ «Об охране окружающей среды»</w:t>
      </w:r>
      <w:r>
        <w:rPr>
          <w:rFonts w:ascii="Times New Roman" w:hAnsi="Times New Roman" w:eastAsia="SimSun;宋体" w:cs="Times New Roman"/>
          <w:kern w:val="2"/>
          <w:sz w:val="20"/>
          <w:szCs w:val="20"/>
          <w:highlight w:val="white"/>
          <w:lang w:eastAsia="zh-CN" w:bidi="hi-IN"/>
        </w:rPr>
        <w:fldChar w:fldCharType="end"/>
      </w:r>
      <w:r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Региональному оператору </w:t>
      </w:r>
      <w:r>
        <w:rPr>
          <w:rFonts w:ascii="Times New Roman" w:hAnsi="Times New Roman" w:eastAsia="Calibri" w:cs="Times New Roman"/>
          <w:sz w:val="20"/>
          <w:szCs w:val="20"/>
        </w:rPr>
        <w:t>Свидетельств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eastAsia="Calibri" w:cs="Times New Roman"/>
          <w:sz w:val="20"/>
          <w:szCs w:val="20"/>
        </w:rPr>
        <w:t xml:space="preserve"> (согласно Федеральному закону № 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 </w:t>
      </w:r>
    </w:p>
    <w:p>
      <w:pPr>
        <w:pStyle w:val="20"/>
        <w:spacing w:after="103" w:line="240" w:lineRule="auto"/>
        <w:contextualSpacing/>
        <w:jc w:val="both"/>
      </w:pPr>
      <w:r>
        <w:t xml:space="preserve">    </w:t>
      </w:r>
      <w:r>
        <w:rPr>
          <w:rFonts w:ascii="Times New Roman" w:hAnsi="Times New Roman" w:cs="Times New Roman"/>
          <w:sz w:val="20"/>
          <w:szCs w:val="20"/>
        </w:rPr>
        <w:t>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>
      <w:pPr>
        <w:pStyle w:val="20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-Инженер по охране окружающей среды в области обращения с отходами 40.133.01 (6-й уровень квалификации) - высшее образование;</w:t>
      </w:r>
    </w:p>
    <w:p>
      <w:pPr>
        <w:pStyle w:val="20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-Техник по обращению с отходами 16006.01 (5-й уровень квалификации) — среднетехническое;</w:t>
      </w:r>
    </w:p>
    <w:p>
      <w:pPr>
        <w:pStyle w:val="20"/>
        <w:spacing w:after="103"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-Старший техник по обращению с отходами 16.006.02 (6-й уровень квалификации) — среднетехническое.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5.4.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Исполнитель имеет право: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а) требовать от Потребителей внесения платы за потребленную коммунальную услугу по обращению с твердыми коммунальными отходами, а также в случаях, установленных федеральными законами и Договором, содержащим положения о предоставлении коммунальной услуги по обращению с твердыми коммунальными отходами, - уплаты неустоек (штрафов, пеней);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б)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для доставки платежных документов потребителям;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- для начисления платы за коммунальную услугу по обращению с твердыми коммунальными отходами и подготовки доставки платежных документов потребителям;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в) устанавливать в порядке, предусмотренном Правилами № 354,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г)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д)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е) инициировать проведение сверки расчетов по настоящему Договору;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ж) осуществлять иные права, предусмотренные жилищным законодательством Российской Федерации, в том числе Правилами № 354 и настоящим договором.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Порядок осуществления учета объема ТКО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6.1.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3 июня 2016 № 505 «Об утверждении Правил  коммерческого  учета  объема  и  (или)  массы  ТКО», расчетным путем исходя из утвержденных нормативов накопления ТКО.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Порядок фиксации нарушений по Договору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7.1.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нарушения Региональным оператором обязательств по настоящему Договору Исполнитель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Исполнитель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Исполнителем.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7.2.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Исполнителю.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Исполнителю в течение 3 рабочих дней со дня получения акта.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7.3.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невозможности устранения нарушений в сроки, предложенные Исполнителем, Региональный оператор предлагает иные сроки для устранения выявленных нарушений.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7.4.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7.5.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получения возражений Регионального оператора Исполнитель обязан рассмотреть возражения и в случае согласия с возражениями внести соответствующие изменения в акт.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 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Акт должен содержать: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а) сведения о заявителе (наименование, местонахождение, адрес);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в) сведения о нарушении соответствующих пунктов Договора;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7.6.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Договора.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7.7.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Исполнитель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pStyle w:val="20"/>
        <w:spacing w:after="0"/>
        <w:ind w:left="3119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8. Ответственность сторон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8.1.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8.2. </w:t>
      </w:r>
      <w:r>
        <w:rPr>
          <w:rFonts w:ascii="Times New Roman" w:hAnsi="Times New Roman" w:eastAsia="Calibri" w:cs="Times New Roman"/>
          <w:b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неисполнения либо ненадлежащего (просрочка) исполнения Исполнителем обязательств по оплате настоящего Договора Региональный оператор вправе потребовать от Исполнителя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8.3.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Исполнитель несет административную ответственность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8.4.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При неисполнении Исполнителем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Исполнителя.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2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• при снежных заносах, </w:t>
      </w:r>
      <w:r>
        <w:rPr>
          <w:rFonts w:ascii="Times New Roman" w:hAnsi="Times New Roman"/>
          <w:sz w:val="20"/>
          <w:szCs w:val="20"/>
        </w:rPr>
        <w:t>примерзании контейнерного бака или ТКО;</w:t>
      </w:r>
    </w:p>
    <w:p>
      <w:pPr>
        <w:pStyle w:val="2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• при необеспечении Исполнителем свободного доступа или проезда к оборудованным контейнерным площадкам,</w:t>
      </w:r>
      <w:r>
        <w:rPr>
          <w:rFonts w:eastAsia="Calibri" w:cs="Times New Roma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>в том числе из-за парковки автомобилей, неочищенных от снега подъездных путей, провисание проводов и т.п.;</w:t>
      </w:r>
    </w:p>
    <w:p>
      <w:pPr>
        <w:pStyle w:val="2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>
      <w:pPr>
        <w:pStyle w:val="2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>
      <w:p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8.5.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8.6.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8.7.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Исполнитель несет административную ответственность в соответствии с действующим законодательством.</w:t>
      </w:r>
    </w:p>
    <w:p>
      <w:pPr>
        <w:pStyle w:val="20"/>
        <w:contextualSpacing/>
        <w:jc w:val="both"/>
      </w:pPr>
      <w:r>
        <w:rPr>
          <w:rFonts w:ascii="Times New Roman" w:hAnsi="Times New Roman" w:eastAsia="Calibri" w:cs="Times New Roman"/>
          <w:b/>
          <w:sz w:val="20"/>
          <w:szCs w:val="20"/>
        </w:rPr>
        <w:t>8.8</w:t>
      </w:r>
      <w:r>
        <w:rPr>
          <w:rFonts w:ascii="Times New Roman" w:hAnsi="Times New Roman" w:eastAsia="Calibri" w:cs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Региональный оператор освобождается от ответственности при отсутствии у Исполнителя Свидетельства (согласно ФЗ №238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</w:t>
      </w:r>
      <w:r>
        <w:t xml:space="preserve"> 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t xml:space="preserve">             </w:t>
      </w:r>
      <w:r>
        <w:rPr>
          <w:rFonts w:ascii="Times New Roman" w:hAnsi="Times New Roman"/>
          <w:sz w:val="20"/>
          <w:szCs w:val="20"/>
        </w:rPr>
        <w:t>Подготовка должностного лица хозяйствующего субъекта (Исполнителя),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Инженер по охране окружающей среды в области обращения с отходами 40.133.01 (6-й уровень квалификации) - высшее образование;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 по обращению с отходами 16006.01 (5-й уровень квалификации) - среднетехническое;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Старший техник по обращению с отходами 16.006.02 (6-й уровень квалификации) - среднетехническое.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Перед заключением настоящего Договора Региональным оператором Исполнителю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Hlk38617819"/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bookmarkEnd w:id="0"/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Об ответственности за несоблюдение санитарно-эпидемиологических требований при обращении с отходами Исполнитель Региональным оператором предупрежден.</w:t>
      </w:r>
    </w:p>
    <w:p>
      <w:pPr>
        <w:pStyle w:val="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Поскольку Исполнителем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pStyle w:val="2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8.10. </w:t>
      </w:r>
      <w:r>
        <w:rPr>
          <w:rFonts w:ascii="Times New Roman" w:hAnsi="Times New Roman"/>
          <w:sz w:val="20"/>
          <w:szCs w:val="20"/>
        </w:rPr>
        <w:t>Исполнитель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>
      <w:pPr>
        <w:pStyle w:val="21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Обстоятельства непреодолимой силы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9.1.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9.2.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9.3.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Исполнителя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9.4.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 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10. Действие Договора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10.1.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 с «01» мая 2020 года и действует по «24» декабря 2029 года (для Канско-Абанской технологической зоны) либо по «24» октября 2029 года (для Лесосибирской технологической зоны).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10.2.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eastAsia="Calibri" w:cs="Times New Roman"/>
          <w:spacing w:val="-4"/>
          <w:sz w:val="20"/>
          <w:szCs w:val="20"/>
        </w:rPr>
        <w:t>:</w:t>
      </w:r>
      <w:r>
        <w:rPr>
          <w:rFonts w:ascii="Times New Roman" w:hAnsi="Times New Roman" w:eastAsia="Calibri" w:cs="Times New Roman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spacing w:val="-3"/>
          <w:sz w:val="20"/>
          <w:szCs w:val="20"/>
        </w:rPr>
        <w:t xml:space="preserve">по </w:t>
      </w:r>
      <w:r>
        <w:rPr>
          <w:rFonts w:ascii="Times New Roman" w:hAnsi="Times New Roman" w:eastAsia="Calibri" w:cs="Times New Roman"/>
          <w:spacing w:val="-5"/>
          <w:sz w:val="20"/>
          <w:szCs w:val="20"/>
        </w:rPr>
        <w:t>соглашению Сторон;</w:t>
      </w:r>
      <w:r>
        <w:rPr>
          <w:rFonts w:ascii="Times New Roman" w:hAnsi="Times New Roman" w:eastAsia="Calibri" w:cs="Times New Roman"/>
          <w:sz w:val="20"/>
          <w:szCs w:val="20"/>
        </w:rPr>
        <w:t xml:space="preserve"> в </w:t>
      </w:r>
      <w:r>
        <w:rPr>
          <w:rFonts w:ascii="Times New Roman" w:hAnsi="Times New Roman" w:eastAsia="Calibri" w:cs="Times New Roman"/>
          <w:spacing w:val="-5"/>
          <w:sz w:val="20"/>
          <w:szCs w:val="20"/>
        </w:rPr>
        <w:t xml:space="preserve">случаях </w:t>
      </w:r>
      <w:r>
        <w:rPr>
          <w:rFonts w:ascii="Times New Roman" w:hAnsi="Times New Roman" w:eastAsia="Calibri" w:cs="Times New Roman"/>
          <w:sz w:val="20"/>
          <w:szCs w:val="20"/>
        </w:rPr>
        <w:t xml:space="preserve">и </w:t>
      </w:r>
      <w:r>
        <w:rPr>
          <w:rFonts w:ascii="Times New Roman" w:hAnsi="Times New Roman" w:eastAsia="Calibri" w:cs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>
        <w:rPr>
          <w:rFonts w:ascii="Times New Roman" w:hAnsi="Times New Roman" w:eastAsia="Calibri" w:cs="Times New Roman"/>
          <w:spacing w:val="-4"/>
          <w:sz w:val="20"/>
          <w:szCs w:val="20"/>
        </w:rPr>
        <w:t>РФ.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0"/>
          <w:szCs w:val="20"/>
        </w:rPr>
      </w:pPr>
    </w:p>
    <w:p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Порядок разрешения споров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11.1.</w:t>
      </w:r>
      <w:r>
        <w:rPr>
          <w:rFonts w:ascii="Times New Roman" w:hAnsi="Times New Roman" w:cs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11.3.</w:t>
      </w:r>
      <w:r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11.4.</w:t>
      </w:r>
      <w:r>
        <w:rPr>
          <w:rFonts w:ascii="Times New Roman" w:hAnsi="Times New Roman" w:cs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12. Прочие условия</w:t>
      </w:r>
    </w:p>
    <w:p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Arial Unicode MS" w:cs="Times New Roman"/>
          <w:b/>
          <w:color w:val="000000"/>
          <w:spacing w:val="-3"/>
          <w:sz w:val="20"/>
          <w:szCs w:val="20"/>
          <w:lang w:bidi="ru-RU"/>
        </w:rPr>
        <w:t>12.1.</w:t>
      </w:r>
      <w:r>
        <w:rPr>
          <w:rFonts w:ascii="Times New Roman" w:hAnsi="Times New Roman" w:eastAsia="Arial Unicode MS" w:cs="Times New Roman"/>
          <w:color w:val="000000"/>
          <w:spacing w:val="-3"/>
          <w:sz w:val="20"/>
          <w:szCs w:val="20"/>
          <w:lang w:bidi="ru-RU"/>
        </w:rPr>
        <w:t xml:space="preserve"> Во </w:t>
      </w:r>
      <w:r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bidi="ru-RU"/>
        </w:rPr>
        <w:t xml:space="preserve">всем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остальном, </w:t>
      </w:r>
      <w:r>
        <w:rPr>
          <w:rFonts w:ascii="Times New Roman" w:hAnsi="Times New Roman" w:eastAsia="Arial Unicode MS" w:cs="Times New Roman"/>
          <w:color w:val="000000"/>
          <w:spacing w:val="-3"/>
          <w:sz w:val="20"/>
          <w:szCs w:val="20"/>
          <w:lang w:bidi="ru-RU"/>
        </w:rPr>
        <w:t xml:space="preserve">не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pacing w:val="-4"/>
          <w:sz w:val="20"/>
          <w:szCs w:val="20"/>
          <w:lang w:bidi="ru-RU"/>
        </w:rPr>
        <w:t>12.2.</w:t>
      </w:r>
      <w:r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bidi="ru-RU"/>
        </w:rPr>
        <w:t xml:space="preserve">  Право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собственности </w:t>
      </w:r>
      <w:r>
        <w:rPr>
          <w:rFonts w:ascii="Times New Roman" w:hAnsi="Times New Roman" w:eastAsia="Arial Unicode MS" w:cs="Times New Roman"/>
          <w:color w:val="000000"/>
          <w:spacing w:val="-3"/>
          <w:sz w:val="20"/>
          <w:szCs w:val="20"/>
          <w:lang w:bidi="ru-RU"/>
        </w:rPr>
        <w:t xml:space="preserve">на </w:t>
      </w:r>
      <w:r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bidi="ru-RU"/>
        </w:rPr>
        <w:t xml:space="preserve">ТКО переходит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к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Региональному оператору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с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момента погрузки </w:t>
      </w:r>
      <w:r>
        <w:rPr>
          <w:rFonts w:ascii="Times New Roman" w:hAnsi="Times New Roman" w:eastAsia="Arial Unicode MS" w:cs="Times New Roman"/>
          <w:color w:val="000000"/>
          <w:spacing w:val="-3"/>
          <w:sz w:val="20"/>
          <w:szCs w:val="20"/>
          <w:lang w:bidi="ru-RU"/>
        </w:rPr>
        <w:t xml:space="preserve">ТКО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>мусоровоз.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pacing w:val="-4"/>
          <w:sz w:val="20"/>
          <w:szCs w:val="20"/>
          <w:lang w:bidi="ru-RU"/>
        </w:rPr>
        <w:t>12.3.</w:t>
      </w:r>
      <w:r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bidi="ru-RU"/>
        </w:rPr>
        <w:t xml:space="preserve"> Все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изменения, </w:t>
      </w:r>
      <w:r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bidi="ru-RU"/>
        </w:rPr>
        <w:t xml:space="preserve">которые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вносятся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настоящий Договор, считаются действительными, </w:t>
      </w:r>
      <w:r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bidi="ru-RU"/>
        </w:rPr>
        <w:t xml:space="preserve">если они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оформлены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в </w:t>
      </w:r>
      <w:r>
        <w:rPr>
          <w:rFonts w:ascii="Times New Roman" w:hAnsi="Times New Roman" w:eastAsia="Arial Unicode MS" w:cs="Times New Roman"/>
          <w:color w:val="000000"/>
          <w:spacing w:val="-5"/>
          <w:sz w:val="20"/>
          <w:szCs w:val="20"/>
          <w:lang w:bidi="ru-RU"/>
        </w:rPr>
        <w:t xml:space="preserve">письменном виде, подписаны уполномоченными </w:t>
      </w:r>
      <w:r>
        <w:rPr>
          <w:rFonts w:ascii="Times New Roman" w:hAnsi="Times New Roman" w:eastAsia="Arial Unicode MS" w:cs="Times New Roman"/>
          <w:color w:val="000000"/>
          <w:spacing w:val="-3"/>
          <w:sz w:val="20"/>
          <w:szCs w:val="20"/>
          <w:lang w:bidi="ru-RU"/>
        </w:rPr>
        <w:t xml:space="preserve">на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то </w:t>
      </w:r>
      <w:r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bidi="ru-RU"/>
        </w:rPr>
        <w:t>лицами.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12.4.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 письмом на эл. почту, нарочно), позволяющим  подтвердить его получение.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pacing w:val="-3"/>
          <w:sz w:val="20"/>
          <w:szCs w:val="20"/>
          <w:lang w:bidi="ru-RU"/>
        </w:rPr>
        <w:t>12.5.</w:t>
      </w:r>
      <w:r>
        <w:rPr>
          <w:rFonts w:ascii="Times New Roman" w:hAnsi="Times New Roman" w:eastAsia="Arial Unicode MS" w:cs="Times New Roman"/>
          <w:color w:val="000000"/>
          <w:spacing w:val="-3"/>
          <w:sz w:val="20"/>
          <w:szCs w:val="20"/>
          <w:lang w:bidi="ru-RU"/>
        </w:rPr>
        <w:t xml:space="preserve">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\h </w:instrText>
      </w:r>
      <w:r>
        <w:fldChar w:fldCharType="separate"/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>закона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fldChar w:fldCharType="end"/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>
      <w:pPr>
        <w:widowControl w:val="0"/>
        <w:tabs>
          <w:tab w:val="left" w:pos="1134"/>
        </w:tabs>
        <w:spacing w:before="1" w:after="0" w:line="264" w:lineRule="auto"/>
        <w:contextualSpacing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12.6.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>-  на электронный почтовый ящик (e-mail), указанный в Разделе 13.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>- заказным письмом по адресу местонахождения Стороны;</w:t>
      </w:r>
    </w:p>
    <w:p>
      <w:pPr>
        <w:widowControl w:val="0"/>
        <w:tabs>
          <w:tab w:val="left" w:pos="1134"/>
        </w:tabs>
        <w:spacing w:before="1" w:after="0" w:line="264" w:lineRule="auto"/>
        <w:ind w:left="567"/>
        <w:contextualSpacing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12.7.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12.8.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12.9.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течение 3 (трех) лет, за исключением случаев, предусмотренных законодательством РФ.</w:t>
      </w:r>
    </w:p>
    <w:p>
      <w:pPr>
        <w:widowControl w:val="0"/>
        <w:tabs>
          <w:tab w:val="left" w:pos="1134"/>
        </w:tabs>
        <w:spacing w:before="1" w:after="0" w:line="264" w:lineRule="auto"/>
        <w:jc w:val="both"/>
        <w:rPr>
          <w:rFonts w:ascii="Times New Roman" w:hAnsi="Times New Roman" w:eastAsia="Arial Unicode MS" w:cs="Times New Roman"/>
          <w:color w:val="000000"/>
          <w:spacing w:val="-4"/>
          <w:sz w:val="20"/>
          <w:szCs w:val="20"/>
          <w:lang w:eastAsia="ru-RU" w:bidi="ru-RU"/>
        </w:rPr>
      </w:pPr>
      <w:r>
        <w:rPr>
          <w:rFonts w:ascii="Times New Roman" w:hAnsi="Times New Roman" w:eastAsia="Arial Unicode MS" w:cs="Times New Roman"/>
          <w:b/>
          <w:color w:val="000000"/>
          <w:sz w:val="20"/>
          <w:szCs w:val="20"/>
          <w:lang w:bidi="ru-RU"/>
        </w:rPr>
        <w:t>12.10.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>
      <w:pPr>
        <w:widowControl w:val="0"/>
        <w:tabs>
          <w:tab w:val="left" w:pos="1134"/>
        </w:tabs>
        <w:spacing w:before="1" w:after="0" w:line="264" w:lineRule="auto"/>
        <w:ind w:left="568"/>
        <w:contextualSpacing/>
        <w:jc w:val="both"/>
        <w:rPr>
          <w:rFonts w:ascii="Times New Roman" w:hAnsi="Times New Roman" w:eastAsia="Arial Unicode MS" w:cs="Times New Roman"/>
          <w:b/>
          <w:color w:val="000000"/>
          <w:spacing w:val="-4"/>
          <w:sz w:val="20"/>
          <w:szCs w:val="20"/>
          <w:lang w:eastAsia="ru-RU" w:bidi="ru-RU"/>
        </w:rPr>
      </w:pPr>
      <w:r>
        <w:rPr>
          <w:rFonts w:ascii="Times New Roman" w:hAnsi="Times New Roman" w:eastAsia="Arial Unicode MS" w:cs="Times New Roman"/>
          <w:b/>
          <w:color w:val="000000"/>
          <w:spacing w:val="-4"/>
          <w:sz w:val="20"/>
          <w:szCs w:val="20"/>
          <w:lang w:eastAsia="ru-RU" w:bidi="ru-RU"/>
        </w:rPr>
        <w:t>Приложения:</w:t>
      </w:r>
    </w:p>
    <w:p>
      <w:pPr>
        <w:pStyle w:val="21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21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№ 2 - Перечень твердых коммунальных отходов.</w:t>
      </w:r>
    </w:p>
    <w:p>
      <w:pPr>
        <w:pStyle w:val="21"/>
        <w:tabs>
          <w:tab w:val="left" w:pos="1319"/>
        </w:tabs>
        <w:spacing w:before="1" w:line="264" w:lineRule="auto"/>
        <w:ind w:left="-284" w:right="112" w:firstLine="284"/>
        <w:jc w:val="center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13. Реквизиты сторон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1"/>
        <w:gridCol w:w="4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Региональный оператор: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ООО «РК»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ИНН/КПП </w:t>
            </w:r>
            <w:bookmarkStart w:id="1" w:name="_Hlk35877619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2461225916</w:t>
            </w:r>
            <w:bookmarkEnd w:id="1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/</w:t>
            </w:r>
            <w:bookmarkStart w:id="2" w:name="_Hlk35877636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245401001</w:t>
            </w:r>
            <w:bookmarkEnd w:id="2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 ОГРН </w:t>
            </w:r>
            <w:bookmarkStart w:id="3" w:name="_Hlk35874946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1142468022223</w:t>
            </w:r>
            <w:bookmarkEnd w:id="3"/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Юридический адрес: 660018, г. Красноярск, ул. Куйбышева, д.93, офис 124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Почтовый адрес: </w:t>
            </w:r>
            <w:bookmarkStart w:id="4" w:name="_Hlk35876082"/>
            <w:bookmarkStart w:id="5" w:name="_Hlk35877569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660018</w:t>
            </w:r>
            <w:bookmarkEnd w:id="4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, </w:t>
            </w:r>
            <w:bookmarkStart w:id="6" w:name="_Hlk35876109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г. Красноярск</w:t>
            </w:r>
            <w:bookmarkEnd w:id="6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, ул. </w:t>
            </w:r>
            <w:bookmarkStart w:id="7" w:name="_Hlk35876138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Куйбышева</w:t>
            </w:r>
            <w:bookmarkEnd w:id="7"/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, д.93, офис 124</w:t>
            </w:r>
            <w:bookmarkEnd w:id="5"/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- Реквизиты для потребителей Канско-Абанской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технологической зоны: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zh-CN" w:bidi="ru-RU"/>
              </w:rPr>
              <w:t>р/счет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zh-CN" w:bidi="ru-RU"/>
              </w:rPr>
              <w:t>40702810331000096443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zh-CN" w:bidi="ru-RU"/>
              </w:rPr>
              <w:t>к/счет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zh-CN" w:bidi="ru-RU"/>
              </w:rPr>
              <w:t>30101810800000000627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zh-CN" w:bidi="ru-RU"/>
              </w:rPr>
              <w:t>БИК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eastAsia="zh-CN" w:bidi="ru-RU"/>
              </w:rPr>
              <w:t> 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zh-CN" w:bidi="ru-RU"/>
              </w:rPr>
              <w:t>040407627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zh-CN" w:bidi="ru-RU"/>
              </w:rPr>
              <w:t>Красноярское отделение №8646 ПАО Сбербанк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- Реквизиты для потребителей Лесосибирской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технологической зоны: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р/с 40702810400030003358 Красноярский филиал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АО АИКБ «Енисейский объединенный банк»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г. Красноярск к/с 30101810700000000853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БИК 040407853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Тел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bidi="ru-RU"/>
              </w:rPr>
              <w:t xml:space="preserve">. (391) 219-35-76, (391) 290-24-24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eastAsia="ru-RU" w:bidi="ru-RU"/>
              </w:rPr>
              <w:t>e-mail: info@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  <w:t>рк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eastAsia="ru-RU" w:bidi="ru-RU"/>
              </w:rPr>
              <w:t>24.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  <w:t>рф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bidi="ru-RU"/>
              </w:rPr>
            </w:pP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val="en-US" w:bidi="ru-RU"/>
              </w:rPr>
              <w:t xml:space="preserve"> 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Директор </w:t>
            </w:r>
          </w:p>
          <w:p>
            <w:pPr>
              <w:widowControl w:val="0"/>
              <w:tabs>
                <w:tab w:val="left" w:pos="1134"/>
              </w:tabs>
              <w:spacing w:before="1" w:after="0" w:line="264" w:lineRule="auto"/>
              <w:jc w:val="both"/>
              <w:rPr>
                <w:rFonts w:hint="default" w:ascii="Times New Roman" w:hAnsi="Times New Roman" w:eastAsia="Arial Unicode MS" w:cs="Times New Roman"/>
                <w:color w:val="000000"/>
                <w:sz w:val="20"/>
                <w:szCs w:val="20"/>
                <w:lang w:val="en-US"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>____________________ Т</w:t>
            </w:r>
            <w:r>
              <w:rPr>
                <w:rFonts w:hint="default" w:ascii="Times New Roman" w:hAnsi="Times New Roman" w:eastAsia="Arial Unicode MS" w:cs="Times New Roman"/>
                <w:color w:val="000000"/>
                <w:sz w:val="20"/>
                <w:szCs w:val="20"/>
                <w:lang w:val="en-US" w:bidi="ru-RU"/>
              </w:rPr>
              <w:t>.В. Бизяева</w:t>
            </w: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Arial Unicode MS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bidi="ru-RU"/>
              </w:rPr>
              <w:t xml:space="preserve"> м.п.</w:t>
            </w:r>
          </w:p>
        </w:tc>
        <w:tc>
          <w:tcPr>
            <w:tcW w:w="4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  <w:t>Исполнитель:</w:t>
            </w:r>
          </w:p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Юридический адрес:</w:t>
            </w: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Почтовый адрес:</w:t>
            </w: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ИНН/КПП:</w:t>
            </w: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ОГРН:</w:t>
            </w: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Банковские реквизиты: </w:t>
            </w: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e-mail:</w:t>
            </w:r>
          </w:p>
          <w:p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1 к Договору </w:t>
      </w:r>
    </w:p>
    <w:p>
      <w:pPr>
        <w:ind w:left="5814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_________ от ___________                 </w:t>
      </w:r>
    </w:p>
    <w:p>
      <w:pPr>
        <w:ind w:left="142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5"/>
        <w:gridCol w:w="1264"/>
        <w:gridCol w:w="1465"/>
        <w:gridCol w:w="1112"/>
        <w:gridCol w:w="1463"/>
        <w:gridCol w:w="114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расчетной единицы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расчетных единиц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Тип, объем и количество контейнеров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загрузки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rFonts w:ascii="Calibri" w:hAnsi="Calibri"/>
                <w:sz w:val="20"/>
                <w:szCs w:val="20"/>
              </w:rPr>
            </w:pPr>
          </w:p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center"/>
        <w:outlineLvl w:val="1"/>
        <w:rPr>
          <w:rFonts w:ascii="Times New Roman" w:hAnsi="Times New Roman" w:eastAsia="Calibri" w:cs="Times New Roman"/>
          <w:sz w:val="20"/>
          <w:szCs w:val="20"/>
        </w:rPr>
      </w:pPr>
    </w:p>
    <w:tbl>
      <w:tblPr>
        <w:tblStyle w:val="3"/>
        <w:tblW w:w="10554" w:type="dxa"/>
        <w:tblInd w:w="55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71"/>
        <w:gridCol w:w="52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1" w:hRule="atLeast"/>
        </w:trPr>
        <w:tc>
          <w:tcPr>
            <w:tcW w:w="5271" w:type="dxa"/>
          </w:tcPr>
          <w:p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Региональный оператор:</w:t>
            </w:r>
          </w:p>
          <w:p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» </w:t>
            </w:r>
          </w:p>
          <w:p>
            <w:pPr>
              <w:tabs>
                <w:tab w:val="left" w:pos="1249"/>
              </w:tabs>
              <w:spacing w:line="240" w:lineRule="auto"/>
              <w:ind w:left="142" w:firstLine="426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Директор</w:t>
            </w:r>
          </w:p>
          <w:p>
            <w:pPr>
              <w:tabs>
                <w:tab w:val="left" w:pos="1249"/>
              </w:tabs>
              <w:spacing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   _________________/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Т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.В. Бизяева</w:t>
            </w:r>
          </w:p>
          <w:p>
            <w:pPr>
              <w:tabs>
                <w:tab w:val="left" w:pos="1249"/>
              </w:tabs>
              <w:spacing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5282" w:type="dxa"/>
          </w:tcPr>
          <w:p>
            <w:pPr>
              <w:snapToGrid w:val="0"/>
              <w:spacing w:line="240" w:lineRule="auto"/>
              <w:ind w:left="142" w:firstLine="425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Потребитель:</w:t>
            </w:r>
          </w:p>
          <w:p>
            <w:pPr>
              <w:snapToGrid w:val="0"/>
              <w:spacing w:after="120" w:line="240" w:lineRule="auto"/>
              <w:ind w:left="142" w:right="113" w:firstLine="425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</w:t>
            </w:r>
          </w:p>
          <w:p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________________/                                          </w:t>
            </w:r>
          </w:p>
          <w:p>
            <w:pPr>
              <w:snapToGrid w:val="0"/>
              <w:spacing w:line="240" w:lineRule="auto"/>
              <w:ind w:right="113" w:firstLine="425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м.п.</w:t>
            </w:r>
          </w:p>
        </w:tc>
      </w:tr>
    </w:tbl>
    <w:p>
      <w:pPr>
        <w:rPr>
          <w:rFonts w:ascii="Times New Roman" w:hAnsi="Times New Roman" w:eastAsia="SimSun" w:cs="Times New Roman"/>
          <w:kern w:val="2"/>
          <w:sz w:val="20"/>
          <w:szCs w:val="20"/>
          <w:lang w:eastAsia="hi-IN" w:bidi="hi-IN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br w:type="page"/>
      </w:r>
    </w:p>
    <w:p>
      <w:pPr>
        <w:spacing w:after="0"/>
        <w:jc w:val="right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Приложение № 2 к Договору </w:t>
      </w:r>
    </w:p>
    <w:p>
      <w:pPr>
        <w:spacing w:after="0"/>
        <w:jc w:val="right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№ _________ от ___________                 </w:t>
      </w:r>
    </w:p>
    <w:p>
      <w:pPr>
        <w:spacing w:after="0"/>
        <w:jc w:val="right"/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>
      <w:pPr>
        <w:tabs>
          <w:tab w:val="left" w:pos="365"/>
          <w:tab w:val="center" w:pos="5102"/>
        </w:tabs>
        <w:rPr>
          <w:rFonts w:ascii="Times New Roman" w:hAnsi="Times New Roman" w:eastAsia="Calibri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>Перечень твердых коммунальных отходов Потребителя</w:t>
      </w:r>
    </w:p>
    <w:tbl>
      <w:tblPr>
        <w:tblStyle w:val="3"/>
        <w:tblW w:w="10314" w:type="dxa"/>
        <w:tblInd w:w="1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701"/>
        <w:gridCol w:w="1276"/>
        <w:gridCol w:w="1132"/>
        <w:gridCol w:w="1419"/>
      </w:tblGrid>
      <w:tr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Код по ФККО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Масса в мес.</w:t>
            </w:r>
          </w:p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(тн)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Объем в мес.</w:t>
            </w:r>
          </w:p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jc w:val="center"/>
        <w:outlineLvl w:val="1"/>
        <w:rPr>
          <w:rFonts w:ascii="Times New Roman" w:hAnsi="Times New Roman" w:eastAsia="Calibri" w:cs="Times New Roman"/>
          <w:sz w:val="20"/>
          <w:szCs w:val="20"/>
        </w:rPr>
      </w:pPr>
    </w:p>
    <w:tbl>
      <w:tblPr>
        <w:tblStyle w:val="3"/>
        <w:tblW w:w="10554" w:type="dxa"/>
        <w:tblInd w:w="55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71"/>
        <w:gridCol w:w="52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61" w:hRule="atLeast"/>
        </w:trPr>
        <w:tc>
          <w:tcPr>
            <w:tcW w:w="5271" w:type="dxa"/>
          </w:tcPr>
          <w:p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Региональный оператор:</w:t>
            </w:r>
          </w:p>
          <w:p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РК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» </w:t>
            </w:r>
          </w:p>
          <w:p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Директор</w:t>
            </w:r>
          </w:p>
          <w:p>
            <w:pPr>
              <w:snapToGrid w:val="0"/>
              <w:spacing w:line="240" w:lineRule="auto"/>
              <w:ind w:left="142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ind w:left="142" w:firstLine="426"/>
              <w:jc w:val="both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_________________/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Т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.В. Бизяева</w:t>
            </w:r>
          </w:p>
          <w:p>
            <w:pPr>
              <w:spacing w:line="240" w:lineRule="auto"/>
              <w:ind w:left="142" w:right="113" w:firstLine="1079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м.п.</w:t>
            </w:r>
          </w:p>
        </w:tc>
        <w:tc>
          <w:tcPr>
            <w:tcW w:w="5282" w:type="dxa"/>
          </w:tcPr>
          <w:p>
            <w:pPr>
              <w:snapToGrid w:val="0"/>
              <w:spacing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Потребитель:</w:t>
            </w:r>
          </w:p>
          <w:p>
            <w:pPr>
              <w:snapToGrid w:val="0"/>
              <w:spacing w:after="120" w:line="240" w:lineRule="auto"/>
              <w:ind w:left="142" w:right="113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napToGrid w:val="0"/>
              <w:spacing w:after="120" w:line="240" w:lineRule="auto"/>
              <w:ind w:left="142" w:right="113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snapToGrid w:val="0"/>
              <w:spacing w:line="240" w:lineRule="auto"/>
              <w:ind w:right="113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     </w:t>
            </w:r>
          </w:p>
          <w:p>
            <w:pPr>
              <w:snapToGrid w:val="0"/>
              <w:spacing w:line="240" w:lineRule="auto"/>
              <w:ind w:right="113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________________/                                         </w:t>
            </w:r>
          </w:p>
          <w:p>
            <w:pPr>
              <w:snapToGrid w:val="0"/>
              <w:spacing w:line="240" w:lineRule="auto"/>
              <w:ind w:right="113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 w:hRule="atLeast"/>
        </w:trPr>
        <w:tc>
          <w:tcPr>
            <w:tcW w:w="5271" w:type="dxa"/>
          </w:tcPr>
          <w:p>
            <w:pPr>
              <w:snapToGrid w:val="0"/>
              <w:ind w:left="142" w:right="113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>
            <w:pPr>
              <w:snapToGrid w:val="0"/>
              <w:ind w:left="142" w:firstLine="426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</w:tbl>
    <w:p>
      <w:pPr>
        <w:tabs>
          <w:tab w:val="left" w:pos="6946"/>
        </w:tabs>
        <w:ind w:left="142" w:firstLine="1276"/>
        <w:outlineLvl w:val="1"/>
        <w:rPr>
          <w:rFonts w:ascii="Times New Roman" w:hAnsi="Times New Roman" w:eastAsia="Calibri" w:cs="Times New Roman"/>
          <w:sz w:val="20"/>
          <w:szCs w:val="20"/>
        </w:rPr>
      </w:pPr>
    </w:p>
    <w:p>
      <w:pPr>
        <w:rPr>
          <w:rFonts w:ascii="Times New Roman" w:hAnsi="Times New Roman" w:eastAsia="Calibri" w:cs="Times New Roman"/>
          <w:sz w:val="20"/>
          <w:szCs w:val="20"/>
        </w:rPr>
      </w:pPr>
    </w:p>
    <w:p>
      <w:pPr>
        <w:rPr>
          <w:rFonts w:ascii="Times New Roman" w:hAnsi="Times New Roman" w:eastAsia="Calibri" w:cs="Times New Roman"/>
          <w:sz w:val="20"/>
          <w:szCs w:val="20"/>
        </w:rPr>
      </w:pPr>
    </w:p>
    <w:p>
      <w:pPr>
        <w:rPr>
          <w:rFonts w:ascii="Times New Roman" w:hAnsi="Times New Roman" w:eastAsia="Calibri" w:cs="Times New Roman"/>
          <w:sz w:val="20"/>
          <w:szCs w:val="20"/>
        </w:rPr>
      </w:pPr>
    </w:p>
    <w:tbl>
      <w:tblPr>
        <w:tblStyle w:val="3"/>
        <w:tblW w:w="10554" w:type="dxa"/>
        <w:tblInd w:w="55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71"/>
        <w:gridCol w:w="52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" w:hRule="atLeast"/>
        </w:trPr>
        <w:tc>
          <w:tcPr>
            <w:tcW w:w="5271" w:type="dxa"/>
          </w:tcPr>
          <w:p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>
            <w:pPr>
              <w:snapToGrid w:val="0"/>
              <w:ind w:left="142" w:firstLine="426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>
      <w:pPr>
        <w:tabs>
          <w:tab w:val="left" w:pos="6946"/>
        </w:tabs>
        <w:ind w:left="142" w:firstLine="1276"/>
        <w:outlineLvl w:val="1"/>
        <w:rPr>
          <w:rFonts w:eastAsia="Calibri" w:cs="Times New Roman"/>
          <w:sz w:val="20"/>
          <w:szCs w:val="20"/>
        </w:rPr>
      </w:pPr>
    </w:p>
    <w:p>
      <w:pPr>
        <w:rPr>
          <w:rFonts w:eastAsia="Calibri" w:cs="Times New Roman"/>
          <w:sz w:val="20"/>
          <w:szCs w:val="20"/>
        </w:rPr>
      </w:pPr>
    </w:p>
    <w:p>
      <w:pPr>
        <w:rPr>
          <w:rFonts w:eastAsia="SimSun" w:cs="Mangal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spacing w:after="0" w:line="240" w:lineRule="auto"/>
        <w:outlineLvl w:val="0"/>
      </w:pPr>
    </w:p>
    <w:sectPr>
      <w:headerReference r:id="rId5" w:type="default"/>
      <w:footerReference r:id="rId6" w:type="default"/>
      <w:pgSz w:w="11906" w:h="16838"/>
      <w:pgMar w:top="625" w:right="567" w:bottom="767" w:left="1134" w:header="654" w:footer="1134" w:gutter="0"/>
      <w:cols w:space="720" w:num="1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FDinTextCondPro-Regular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PF Din Text Cond Pro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;宋体">
    <w:altName w:val="SimSu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Региональный оператор: ______________                                                                                                   Исполнитель: __________________ </w:t>
    </w:r>
  </w:p>
  <w:p>
    <w:pPr>
      <w:pStyle w:val="19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ru-RU"/>
      </w:rPr>
      <w:t xml:space="preserve"> </w:t>
    </w:r>
  </w:p>
  <w:p>
    <w:pPr>
      <w:pStyle w:val="7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74ED4"/>
    <w:multiLevelType w:val="multilevel"/>
    <w:tmpl w:val="2AC74ED4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532B51"/>
    <w:multiLevelType w:val="multilevel"/>
    <w:tmpl w:val="33532B51"/>
    <w:lvl w:ilvl="0" w:tentative="0">
      <w:start w:val="11"/>
      <w:numFmt w:val="decimal"/>
      <w:lvlText w:val="%1."/>
      <w:lvlJc w:val="left"/>
      <w:pPr>
        <w:ind w:left="3054" w:hanging="360"/>
      </w:pPr>
    </w:lvl>
    <w:lvl w:ilvl="1" w:tentative="0">
      <w:start w:val="1"/>
      <w:numFmt w:val="lowerLetter"/>
      <w:lvlText w:val="%2."/>
      <w:lvlJc w:val="left"/>
      <w:pPr>
        <w:ind w:left="3774" w:hanging="360"/>
      </w:pPr>
    </w:lvl>
    <w:lvl w:ilvl="2" w:tentative="0">
      <w:start w:val="1"/>
      <w:numFmt w:val="lowerRoman"/>
      <w:lvlText w:val="%3."/>
      <w:lvlJc w:val="right"/>
      <w:pPr>
        <w:ind w:left="4494" w:hanging="180"/>
      </w:pPr>
    </w:lvl>
    <w:lvl w:ilvl="3" w:tentative="0">
      <w:start w:val="1"/>
      <w:numFmt w:val="decimal"/>
      <w:lvlText w:val="%4."/>
      <w:lvlJc w:val="left"/>
      <w:pPr>
        <w:ind w:left="5214" w:hanging="360"/>
      </w:pPr>
    </w:lvl>
    <w:lvl w:ilvl="4" w:tentative="0">
      <w:start w:val="1"/>
      <w:numFmt w:val="lowerLetter"/>
      <w:lvlText w:val="%5."/>
      <w:lvlJc w:val="left"/>
      <w:pPr>
        <w:ind w:left="5934" w:hanging="360"/>
      </w:pPr>
    </w:lvl>
    <w:lvl w:ilvl="5" w:tentative="0">
      <w:start w:val="1"/>
      <w:numFmt w:val="lowerRoman"/>
      <w:lvlText w:val="%6."/>
      <w:lvlJc w:val="right"/>
      <w:pPr>
        <w:ind w:left="6654" w:hanging="180"/>
      </w:pPr>
    </w:lvl>
    <w:lvl w:ilvl="6" w:tentative="0">
      <w:start w:val="1"/>
      <w:numFmt w:val="decimal"/>
      <w:lvlText w:val="%7."/>
      <w:lvlJc w:val="left"/>
      <w:pPr>
        <w:ind w:left="7374" w:hanging="360"/>
      </w:pPr>
    </w:lvl>
    <w:lvl w:ilvl="7" w:tentative="0">
      <w:start w:val="1"/>
      <w:numFmt w:val="lowerLetter"/>
      <w:lvlText w:val="%8."/>
      <w:lvlJc w:val="left"/>
      <w:pPr>
        <w:ind w:left="8094" w:hanging="360"/>
      </w:pPr>
    </w:lvl>
    <w:lvl w:ilvl="8" w:tentative="0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6AC84661"/>
    <w:multiLevelType w:val="multilevel"/>
    <w:tmpl w:val="6AC84661"/>
    <w:lvl w:ilvl="0" w:tentative="0">
      <w:start w:val="9"/>
      <w:numFmt w:val="decimal"/>
      <w:lvlText w:val="%1."/>
      <w:lvlJc w:val="left"/>
      <w:pPr>
        <w:ind w:left="30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780" w:hanging="360"/>
      </w:pPr>
    </w:lvl>
    <w:lvl w:ilvl="2" w:tentative="0">
      <w:start w:val="1"/>
      <w:numFmt w:val="lowerRoman"/>
      <w:lvlText w:val="%3."/>
      <w:lvlJc w:val="right"/>
      <w:pPr>
        <w:ind w:left="4500" w:hanging="180"/>
      </w:pPr>
    </w:lvl>
    <w:lvl w:ilvl="3" w:tentative="0">
      <w:start w:val="1"/>
      <w:numFmt w:val="decimal"/>
      <w:lvlText w:val="%4."/>
      <w:lvlJc w:val="left"/>
      <w:pPr>
        <w:ind w:left="5220" w:hanging="360"/>
      </w:pPr>
    </w:lvl>
    <w:lvl w:ilvl="4" w:tentative="0">
      <w:start w:val="1"/>
      <w:numFmt w:val="lowerLetter"/>
      <w:lvlText w:val="%5."/>
      <w:lvlJc w:val="left"/>
      <w:pPr>
        <w:ind w:left="5940" w:hanging="360"/>
      </w:pPr>
    </w:lvl>
    <w:lvl w:ilvl="5" w:tentative="0">
      <w:start w:val="1"/>
      <w:numFmt w:val="lowerRoman"/>
      <w:lvlText w:val="%6."/>
      <w:lvlJc w:val="right"/>
      <w:pPr>
        <w:ind w:left="6660" w:hanging="180"/>
      </w:pPr>
    </w:lvl>
    <w:lvl w:ilvl="6" w:tentative="0">
      <w:start w:val="1"/>
      <w:numFmt w:val="decimal"/>
      <w:lvlText w:val="%7."/>
      <w:lvlJc w:val="left"/>
      <w:pPr>
        <w:ind w:left="7380" w:hanging="360"/>
      </w:pPr>
    </w:lvl>
    <w:lvl w:ilvl="7" w:tentative="0">
      <w:start w:val="1"/>
      <w:numFmt w:val="lowerLetter"/>
      <w:lvlText w:val="%8."/>
      <w:lvlJc w:val="left"/>
      <w:pPr>
        <w:ind w:left="8100" w:hanging="360"/>
      </w:pPr>
    </w:lvl>
    <w:lvl w:ilvl="8" w:tentative="0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725F007C"/>
    <w:multiLevelType w:val="multilevel"/>
    <w:tmpl w:val="725F007C"/>
    <w:lvl w:ilvl="0" w:tentative="0">
      <w:start w:val="6"/>
      <w:numFmt w:val="decimal"/>
      <w:lvlText w:val="%1."/>
      <w:lvlJc w:val="left"/>
      <w:pPr>
        <w:ind w:left="3060" w:hanging="360"/>
      </w:pPr>
    </w:lvl>
    <w:lvl w:ilvl="1" w:tentative="0">
      <w:start w:val="1"/>
      <w:numFmt w:val="lowerLetter"/>
      <w:lvlText w:val="%2."/>
      <w:lvlJc w:val="left"/>
      <w:pPr>
        <w:ind w:left="3780" w:hanging="360"/>
      </w:pPr>
    </w:lvl>
    <w:lvl w:ilvl="2" w:tentative="0">
      <w:start w:val="1"/>
      <w:numFmt w:val="lowerRoman"/>
      <w:lvlText w:val="%3."/>
      <w:lvlJc w:val="right"/>
      <w:pPr>
        <w:ind w:left="4500" w:hanging="180"/>
      </w:pPr>
    </w:lvl>
    <w:lvl w:ilvl="3" w:tentative="0">
      <w:start w:val="1"/>
      <w:numFmt w:val="decimal"/>
      <w:lvlText w:val="%4."/>
      <w:lvlJc w:val="left"/>
      <w:pPr>
        <w:ind w:left="5220" w:hanging="360"/>
      </w:pPr>
    </w:lvl>
    <w:lvl w:ilvl="4" w:tentative="0">
      <w:start w:val="1"/>
      <w:numFmt w:val="lowerLetter"/>
      <w:lvlText w:val="%5."/>
      <w:lvlJc w:val="left"/>
      <w:pPr>
        <w:ind w:left="5940" w:hanging="360"/>
      </w:pPr>
    </w:lvl>
    <w:lvl w:ilvl="5" w:tentative="0">
      <w:start w:val="1"/>
      <w:numFmt w:val="lowerRoman"/>
      <w:lvlText w:val="%6."/>
      <w:lvlJc w:val="right"/>
      <w:pPr>
        <w:ind w:left="6660" w:hanging="180"/>
      </w:pPr>
    </w:lvl>
    <w:lvl w:ilvl="6" w:tentative="0">
      <w:start w:val="1"/>
      <w:numFmt w:val="decimal"/>
      <w:lvlText w:val="%7."/>
      <w:lvlJc w:val="left"/>
      <w:pPr>
        <w:ind w:left="7380" w:hanging="360"/>
      </w:pPr>
    </w:lvl>
    <w:lvl w:ilvl="7" w:tentative="0">
      <w:start w:val="1"/>
      <w:numFmt w:val="lowerLetter"/>
      <w:lvlText w:val="%8."/>
      <w:lvlJc w:val="left"/>
      <w:pPr>
        <w:ind w:left="8100" w:hanging="360"/>
      </w:pPr>
    </w:lvl>
    <w:lvl w:ilvl="8" w:tentative="0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AB"/>
    <w:rsid w:val="00044484"/>
    <w:rsid w:val="00085C20"/>
    <w:rsid w:val="00087744"/>
    <w:rsid w:val="000A188C"/>
    <w:rsid w:val="000A30FE"/>
    <w:rsid w:val="000D7771"/>
    <w:rsid w:val="00100FE9"/>
    <w:rsid w:val="00143457"/>
    <w:rsid w:val="001914A8"/>
    <w:rsid w:val="001C1693"/>
    <w:rsid w:val="001E4292"/>
    <w:rsid w:val="002153B1"/>
    <w:rsid w:val="00295D9C"/>
    <w:rsid w:val="002A4BC4"/>
    <w:rsid w:val="0031128D"/>
    <w:rsid w:val="00332385"/>
    <w:rsid w:val="00334F8D"/>
    <w:rsid w:val="00360F5C"/>
    <w:rsid w:val="003D7DC6"/>
    <w:rsid w:val="003E3C3E"/>
    <w:rsid w:val="00412715"/>
    <w:rsid w:val="00415DA4"/>
    <w:rsid w:val="00422915"/>
    <w:rsid w:val="00437672"/>
    <w:rsid w:val="00544903"/>
    <w:rsid w:val="005627E8"/>
    <w:rsid w:val="00583004"/>
    <w:rsid w:val="005836AF"/>
    <w:rsid w:val="00586DC2"/>
    <w:rsid w:val="005A6D35"/>
    <w:rsid w:val="005B0443"/>
    <w:rsid w:val="005E10D2"/>
    <w:rsid w:val="005E4308"/>
    <w:rsid w:val="006410BD"/>
    <w:rsid w:val="00653B19"/>
    <w:rsid w:val="006560D0"/>
    <w:rsid w:val="00696CE3"/>
    <w:rsid w:val="006E12E2"/>
    <w:rsid w:val="006F623E"/>
    <w:rsid w:val="00714834"/>
    <w:rsid w:val="00724811"/>
    <w:rsid w:val="00740D36"/>
    <w:rsid w:val="00772CC0"/>
    <w:rsid w:val="00772EF4"/>
    <w:rsid w:val="007746F4"/>
    <w:rsid w:val="00787E13"/>
    <w:rsid w:val="007D0D75"/>
    <w:rsid w:val="007D65DD"/>
    <w:rsid w:val="00802092"/>
    <w:rsid w:val="00816581"/>
    <w:rsid w:val="0088238B"/>
    <w:rsid w:val="008C5B26"/>
    <w:rsid w:val="009874E4"/>
    <w:rsid w:val="009B00EF"/>
    <w:rsid w:val="009C6EBF"/>
    <w:rsid w:val="009D0245"/>
    <w:rsid w:val="009D20DF"/>
    <w:rsid w:val="00A03C47"/>
    <w:rsid w:val="00A53C8F"/>
    <w:rsid w:val="00A637DD"/>
    <w:rsid w:val="00A743CC"/>
    <w:rsid w:val="00A746AE"/>
    <w:rsid w:val="00A75DE0"/>
    <w:rsid w:val="00A82F8B"/>
    <w:rsid w:val="00A8359F"/>
    <w:rsid w:val="00AA731D"/>
    <w:rsid w:val="00AB6B1E"/>
    <w:rsid w:val="00AB7652"/>
    <w:rsid w:val="00AB7F82"/>
    <w:rsid w:val="00AC7C39"/>
    <w:rsid w:val="00AD3F29"/>
    <w:rsid w:val="00AF23A3"/>
    <w:rsid w:val="00AF4F64"/>
    <w:rsid w:val="00B211AF"/>
    <w:rsid w:val="00B571A5"/>
    <w:rsid w:val="00BA70E0"/>
    <w:rsid w:val="00BB789C"/>
    <w:rsid w:val="00BF096B"/>
    <w:rsid w:val="00BF44AE"/>
    <w:rsid w:val="00C0578A"/>
    <w:rsid w:val="00C216D8"/>
    <w:rsid w:val="00C2314B"/>
    <w:rsid w:val="00C31DAB"/>
    <w:rsid w:val="00C3321B"/>
    <w:rsid w:val="00C563DD"/>
    <w:rsid w:val="00C627F4"/>
    <w:rsid w:val="00C80E47"/>
    <w:rsid w:val="00C81010"/>
    <w:rsid w:val="00CB7129"/>
    <w:rsid w:val="00CD5D7F"/>
    <w:rsid w:val="00CE6086"/>
    <w:rsid w:val="00CE7389"/>
    <w:rsid w:val="00D37F33"/>
    <w:rsid w:val="00D7368B"/>
    <w:rsid w:val="00D96609"/>
    <w:rsid w:val="00E243F5"/>
    <w:rsid w:val="00EB6957"/>
    <w:rsid w:val="00ED153A"/>
    <w:rsid w:val="00ED6BF8"/>
    <w:rsid w:val="00EF7445"/>
    <w:rsid w:val="00F001F7"/>
    <w:rsid w:val="00F1054B"/>
    <w:rsid w:val="00F23379"/>
    <w:rsid w:val="00F35099"/>
    <w:rsid w:val="00F500E7"/>
    <w:rsid w:val="00F56963"/>
    <w:rsid w:val="00FA3F36"/>
    <w:rsid w:val="00FD2BAA"/>
    <w:rsid w:val="00FE1FA7"/>
    <w:rsid w:val="05326B65"/>
    <w:rsid w:val="0609462E"/>
    <w:rsid w:val="107F700B"/>
    <w:rsid w:val="623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index heading"/>
    <w:basedOn w:val="1"/>
    <w:next w:val="6"/>
    <w:qFormat/>
    <w:uiPriority w:val="0"/>
    <w:pPr>
      <w:suppressLineNumbers/>
    </w:pPr>
    <w:rPr>
      <w:rFonts w:cs="Lucida Sans"/>
    </w:rPr>
  </w:style>
  <w:style w:type="paragraph" w:styleId="10">
    <w:name w:val="Title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8"/>
    <w:qFormat/>
    <w:uiPriority w:val="0"/>
    <w:rPr>
      <w:rFonts w:cs="Lucida Sans"/>
    </w:rPr>
  </w:style>
  <w:style w:type="character" w:customStyle="1" w:styleId="13">
    <w:name w:val="Верхний колонтитул Знак"/>
    <w:basedOn w:val="2"/>
    <w:qFormat/>
    <w:uiPriority w:val="99"/>
  </w:style>
  <w:style w:type="character" w:customStyle="1" w:styleId="14">
    <w:name w:val="Текст выноски Знак"/>
    <w:basedOn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Нижний колонтитул Знак"/>
    <w:basedOn w:val="2"/>
    <w:qFormat/>
    <w:uiPriority w:val="99"/>
  </w:style>
  <w:style w:type="character" w:customStyle="1" w:styleId="16">
    <w:name w:val="Интернет-ссылка"/>
    <w:qFormat/>
    <w:uiPriority w:val="0"/>
    <w:rPr>
      <w:color w:val="000080"/>
      <w:u w:val="single"/>
    </w:rPr>
  </w:style>
  <w:style w:type="character" w:customStyle="1" w:styleId="17">
    <w:name w:val="Выделение жирным"/>
    <w:qFormat/>
    <w:uiPriority w:val="0"/>
    <w:rPr>
      <w:b/>
      <w:bCs/>
    </w:rPr>
  </w:style>
  <w:style w:type="paragraph" w:customStyle="1" w:styleId="18">
    <w:name w:val="Верхний и нижний колонтитулы"/>
    <w:basedOn w:val="1"/>
    <w:qFormat/>
    <w:uiPriority w:val="0"/>
  </w:style>
  <w:style w:type="paragraph" w:customStyle="1" w:styleId="19">
    <w:name w:val="Колонтитул письма"/>
    <w:basedOn w:val="1"/>
    <w:qFormat/>
    <w:uiPriority w:val="0"/>
    <w:pPr>
      <w:widowControl w:val="0"/>
      <w:suppressAutoHyphens/>
      <w:spacing w:after="0" w:line="240" w:lineRule="auto"/>
      <w:jc w:val="right"/>
    </w:pPr>
    <w:rPr>
      <w:rFonts w:ascii="PFDinTextCondPro-Regular" w:hAnsi="PFDinTextCondPro-Regular" w:eastAsia="SimSun" w:cs="Mangal"/>
      <w:kern w:val="2"/>
      <w:sz w:val="18"/>
      <w:szCs w:val="18"/>
      <w:lang w:val="en-US" w:eastAsia="hi-IN" w:bidi="hi-IN"/>
    </w:rPr>
  </w:style>
  <w:style w:type="paragraph" w:styleId="20">
    <w:name w:val="No Spacing"/>
    <w:qFormat/>
    <w:uiPriority w:val="0"/>
    <w:pPr>
      <w:suppressAutoHyphens/>
      <w:spacing w:after="160" w:line="259" w:lineRule="auto"/>
    </w:pPr>
    <w:rPr>
      <w:rFonts w:cs="Calibri" w:asciiTheme="minorHAnsi" w:hAnsiTheme="minorHAnsi" w:eastAsiaTheme="minorHAnsi"/>
      <w:sz w:val="22"/>
      <w:szCs w:val="22"/>
      <w:lang w:val="ru-RU" w:eastAsia="zh-CN" w:bidi="ar-SA"/>
    </w:rPr>
  </w:style>
  <w:style w:type="paragraph" w:styleId="21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063DE-E2BD-4D5A-97B1-D773E08F25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6424</Words>
  <Characters>36618</Characters>
  <Lines>305</Lines>
  <Paragraphs>85</Paragraphs>
  <TotalTime>14</TotalTime>
  <ScaleCrop>false</ScaleCrop>
  <LinksUpToDate>false</LinksUpToDate>
  <CharactersWithSpaces>42957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2020-06-02T08:35:00Z</dcterms:created>
  <dc:creator>Иван В. Субботин</dc:creator>
  <cp:lastModifiedBy>User</cp:lastModifiedBy>
  <cp:lastPrinted>2020-06-02T07:39:00Z</cp:lastPrinted>
  <dcterms:modified xsi:type="dcterms:W3CDTF">2020-12-30T04:41:18Z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1049-11.2.0.9906</vt:lpwstr>
  </property>
</Properties>
</file>