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ind w:left="-284" w:firstLine="284"/>
        <w:jc w:val="right"/>
        <w:rPr>
          <w:rFonts w:ascii="Times New Roman" w:hAnsi="Times New Roman"/>
          <w:b/>
          <w:sz w:val="18"/>
          <w:szCs w:val="18"/>
        </w:rPr>
      </w:pPr>
      <w:r>
        <w:rPr>
          <w:rFonts w:ascii="Times New Roman" w:hAnsi="Times New Roman"/>
          <w:b/>
          <w:sz w:val="18"/>
          <w:szCs w:val="18"/>
        </w:rPr>
        <w:t>Форма 3 (Бюджетные организации, есть контейнер, 44-ФЗ)</w:t>
      </w:r>
    </w:p>
    <w:p>
      <w:pPr>
        <w:pStyle w:val="18"/>
        <w:ind w:left="-284" w:firstLine="284"/>
        <w:jc w:val="right"/>
        <w:rPr>
          <w:rFonts w:ascii="Times New Roman" w:hAnsi="Times New Roman"/>
          <w:b/>
          <w:sz w:val="18"/>
          <w:szCs w:val="18"/>
        </w:rPr>
      </w:pPr>
    </w:p>
    <w:p>
      <w:pPr>
        <w:pStyle w:val="18"/>
        <w:ind w:left="-284" w:firstLine="284"/>
        <w:jc w:val="center"/>
        <w:rPr>
          <w:rFonts w:ascii="Times New Roman" w:hAnsi="Times New Roman"/>
          <w:b/>
          <w:sz w:val="20"/>
          <w:szCs w:val="20"/>
        </w:rPr>
      </w:pPr>
      <w:r>
        <w:rPr>
          <w:rFonts w:ascii="Times New Roman" w:hAnsi="Times New Roman"/>
          <w:b/>
          <w:sz w:val="20"/>
          <w:szCs w:val="20"/>
        </w:rPr>
        <w:t>КОНТРАКТ № __________________</w:t>
      </w:r>
    </w:p>
    <w:p>
      <w:pPr>
        <w:pStyle w:val="18"/>
        <w:ind w:left="-284" w:firstLine="284"/>
        <w:jc w:val="center"/>
        <w:rPr>
          <w:rFonts w:ascii="Times New Roman" w:hAnsi="Times New Roman"/>
          <w:b/>
          <w:sz w:val="20"/>
          <w:szCs w:val="20"/>
        </w:rPr>
      </w:pPr>
      <w:r>
        <w:rPr>
          <w:rFonts w:ascii="Times New Roman" w:hAnsi="Times New Roman"/>
          <w:b/>
          <w:sz w:val="20"/>
          <w:szCs w:val="20"/>
        </w:rPr>
        <w:t>на оказание услуг по обращению с твердыми коммунальными отходами</w:t>
      </w:r>
    </w:p>
    <w:p>
      <w:pPr>
        <w:pStyle w:val="18"/>
        <w:ind w:left="-284" w:firstLine="284"/>
        <w:jc w:val="center"/>
        <w:rPr>
          <w:rFonts w:ascii="Times New Roman" w:hAnsi="Times New Roman"/>
        </w:rPr>
      </w:pPr>
    </w:p>
    <w:p>
      <w:pPr>
        <w:pStyle w:val="18"/>
        <w:tabs>
          <w:tab w:val="right" w:pos="10205"/>
        </w:tabs>
        <w:jc w:val="right"/>
        <w:rPr>
          <w:rFonts w:ascii="Times New Roman" w:hAnsi="Times New Roman"/>
          <w:sz w:val="20"/>
          <w:szCs w:val="20"/>
        </w:rPr>
      </w:pPr>
      <w:r>
        <w:rPr>
          <w:rFonts w:ascii="Times New Roman" w:hAnsi="Times New Roman"/>
          <w:sz w:val="20"/>
          <w:szCs w:val="20"/>
        </w:rPr>
        <w:t>г. Красноярск</w:t>
      </w:r>
      <w:r>
        <w:rPr>
          <w:rFonts w:hint="default" w:ascii="Times New Roman" w:hAnsi="Times New Roman"/>
          <w:sz w:val="20"/>
          <w:szCs w:val="20"/>
          <w:lang w:val="ru-RU"/>
        </w:rPr>
        <w:t xml:space="preserve">                                                                                                                      </w:t>
      </w:r>
      <w:bookmarkStart w:id="5" w:name="_GoBack"/>
      <w:bookmarkEnd w:id="5"/>
      <w:r>
        <w:rPr>
          <w:rFonts w:ascii="Times New Roman" w:hAnsi="Times New Roman"/>
          <w:sz w:val="20"/>
          <w:szCs w:val="20"/>
        </w:rPr>
        <w:t>«___»____________20__ года</w:t>
      </w:r>
    </w:p>
    <w:p>
      <w:pPr>
        <w:pStyle w:val="18"/>
        <w:tabs>
          <w:tab w:val="right" w:pos="10205"/>
        </w:tabs>
        <w:jc w:val="both"/>
        <w:rPr>
          <w:rFonts w:ascii="Times New Roman" w:hAnsi="Times New Roman"/>
        </w:rPr>
      </w:pPr>
    </w:p>
    <w:p>
      <w:pPr>
        <w:pStyle w:val="18"/>
        <w:tabs>
          <w:tab w:val="right" w:pos="10205"/>
        </w:tabs>
        <w:jc w:val="both"/>
        <w:rPr>
          <w:rFonts w:ascii="Times New Roman" w:hAnsi="Times New Roman"/>
          <w:b/>
          <w:sz w:val="20"/>
          <w:szCs w:val="20"/>
        </w:rPr>
      </w:pPr>
      <w:r>
        <w:rPr>
          <w:rFonts w:ascii="Times New Roman" w:hAnsi="Times New Roman"/>
          <w:b/>
          <w:bCs/>
          <w:sz w:val="20"/>
          <w:szCs w:val="20"/>
        </w:rPr>
        <w:t>_______________________________________________________________________</w:t>
      </w:r>
      <w:r>
        <w:rPr>
          <w:rFonts w:ascii="Times New Roman" w:hAnsi="Times New Roman"/>
          <w:bCs/>
          <w:sz w:val="20"/>
          <w:szCs w:val="20"/>
        </w:rPr>
        <w:t xml:space="preserve">, </w:t>
      </w:r>
      <w:r>
        <w:rPr>
          <w:rFonts w:ascii="Times New Roman" w:hAnsi="Times New Roman" w:eastAsia="Times New Roman"/>
          <w:bCs/>
          <w:sz w:val="20"/>
          <w:szCs w:val="20"/>
          <w:lang w:eastAsia="ru-RU"/>
        </w:rPr>
        <w:t xml:space="preserve">именуемое в дальнейшем </w:t>
      </w:r>
      <w:r>
        <w:rPr>
          <w:rFonts w:ascii="Times New Roman" w:hAnsi="Times New Roman" w:eastAsia="Times New Roman"/>
          <w:sz w:val="20"/>
          <w:szCs w:val="20"/>
          <w:lang w:eastAsia="ru-RU"/>
        </w:rPr>
        <w:t>«Потребитель»,</w:t>
      </w:r>
      <w:r>
        <w:rPr>
          <w:rFonts w:ascii="Times New Roman" w:hAnsi="Times New Roman" w:eastAsia="Times New Roman"/>
          <w:bCs/>
          <w:sz w:val="20"/>
          <w:szCs w:val="20"/>
          <w:lang w:eastAsia="ru-RU"/>
        </w:rPr>
        <w:t xml:space="preserve"> в лице</w:t>
      </w:r>
      <w:r>
        <w:rPr>
          <w:rFonts w:ascii="Times New Roman" w:hAnsi="Times New Roman"/>
          <w:bCs/>
          <w:sz w:val="20"/>
          <w:szCs w:val="20"/>
        </w:rPr>
        <w:t xml:space="preserve"> </w:t>
      </w:r>
      <w:r>
        <w:rPr>
          <w:rFonts w:ascii="Times New Roman" w:hAnsi="Times New Roman"/>
          <w:b/>
          <w:bCs/>
          <w:sz w:val="20"/>
          <w:szCs w:val="20"/>
        </w:rPr>
        <w:t>___________________________________________</w:t>
      </w:r>
      <w:r>
        <w:rPr>
          <w:rFonts w:ascii="Times New Roman" w:hAnsi="Times New Roman"/>
          <w:bCs/>
          <w:sz w:val="20"/>
          <w:szCs w:val="20"/>
        </w:rPr>
        <w:t xml:space="preserve">, действующего на основании </w:t>
      </w:r>
      <w:r>
        <w:rPr>
          <w:rFonts w:ascii="Times New Roman" w:hAnsi="Times New Roman"/>
          <w:b/>
          <w:bCs/>
          <w:sz w:val="20"/>
          <w:szCs w:val="20"/>
        </w:rPr>
        <w:t>_____________________</w:t>
      </w:r>
      <w:r>
        <w:rPr>
          <w:rFonts w:ascii="Times New Roman" w:hAnsi="Times New Roman"/>
          <w:bCs/>
          <w:sz w:val="20"/>
          <w:szCs w:val="20"/>
        </w:rPr>
        <w:t xml:space="preserve">, с одной стороны </w:t>
      </w:r>
      <w:r>
        <w:rPr>
          <w:rFonts w:ascii="Times New Roman" w:hAnsi="Times New Roman"/>
          <w:b/>
          <w:sz w:val="20"/>
          <w:szCs w:val="20"/>
        </w:rPr>
        <w:t xml:space="preserve">и </w:t>
      </w:r>
    </w:p>
    <w:p>
      <w:pPr>
        <w:pStyle w:val="18"/>
        <w:tabs>
          <w:tab w:val="right" w:pos="9600"/>
        </w:tabs>
        <w:jc w:val="both"/>
        <w:rPr>
          <w:rFonts w:ascii="Times New Roman" w:hAnsi="Times New Roman"/>
        </w:rPr>
      </w:pPr>
      <w:r>
        <w:rPr>
          <w:rFonts w:ascii="Times New Roman" w:hAnsi="Times New Roman"/>
          <w:b/>
          <w:sz w:val="20"/>
          <w:szCs w:val="20"/>
        </w:rPr>
        <w:t xml:space="preserve">             </w:t>
      </w:r>
      <w:r>
        <w:rPr>
          <w:rFonts w:ascii="Times New Roman" w:hAnsi="Times New Roman"/>
          <w:b/>
          <w:sz w:val="20"/>
          <w:szCs w:val="20"/>
        </w:rPr>
        <w:tab/>
      </w:r>
      <w:r>
        <w:rPr>
          <w:rFonts w:ascii="Times New Roman" w:hAnsi="Times New Roman"/>
          <w:b/>
          <w:sz w:val="20"/>
          <w:szCs w:val="20"/>
        </w:rPr>
        <w:t>Общество с ограниченной ответственностью «Рециклинговая компания» (ООО «РК»)</w:t>
      </w:r>
      <w:r>
        <w:rPr>
          <w:rFonts w:ascii="Times New Roman" w:hAnsi="Times New Roman"/>
          <w:sz w:val="20"/>
          <w:szCs w:val="20"/>
        </w:rPr>
        <w:t xml:space="preserve">, именуемое в дальнейшем «Региональный оператор», в лице директора Ивановой Татьяны Анатольевны, действующего на основании Устава, </w:t>
      </w:r>
      <w:r>
        <w:rPr>
          <w:rFonts w:ascii="Times New Roman" w:hAnsi="Times New Roman" w:eastAsia="Times New Roman"/>
          <w:sz w:val="20"/>
          <w:szCs w:val="20"/>
          <w:lang w:eastAsia="ru-RU"/>
        </w:rPr>
        <w:t>с другой стороны, при совместном упоминании именуемые стороны, заключили в соответствии с п._____ ч. 1 ст. 93 федерального закона от 05.04.2013 г.  № 44-ФЗ «О контрактной системе в сфере закупок товаров, работ, услуг для обеспечения государственных и муниципальных нужд» настоящий контракт (далее – Контракт) о нижеследующем:</w:t>
      </w:r>
    </w:p>
    <w:p>
      <w:pPr>
        <w:pStyle w:val="18"/>
        <w:jc w:val="both"/>
        <w:rPr>
          <w:rFonts w:ascii="Times New Roman" w:hAnsi="Times New Roman"/>
          <w:b/>
          <w:sz w:val="18"/>
          <w:szCs w:val="18"/>
        </w:rPr>
      </w:pPr>
    </w:p>
    <w:p>
      <w:pPr>
        <w:pStyle w:val="18"/>
        <w:ind w:firstLine="708"/>
        <w:jc w:val="center"/>
        <w:rPr>
          <w:rFonts w:ascii="Times New Roman" w:hAnsi="Times New Roman"/>
          <w:b/>
          <w:sz w:val="20"/>
          <w:szCs w:val="20"/>
        </w:rPr>
      </w:pPr>
      <w:r>
        <w:rPr>
          <w:rFonts w:ascii="Times New Roman" w:hAnsi="Times New Roman"/>
          <w:b/>
          <w:sz w:val="20"/>
          <w:szCs w:val="20"/>
        </w:rPr>
        <w:t>1. Термины и определения, используемые в настоящем контракте</w:t>
      </w:r>
    </w:p>
    <w:p>
      <w:pPr>
        <w:pStyle w:val="18"/>
        <w:jc w:val="both"/>
        <w:rPr>
          <w:rFonts w:ascii="Times New Roman" w:hAnsi="Times New Roman"/>
          <w:sz w:val="20"/>
          <w:szCs w:val="20"/>
        </w:rPr>
      </w:pPr>
      <w:r>
        <w:rPr>
          <w:rFonts w:ascii="Times New Roman" w:hAnsi="Times New Roman"/>
          <w:b/>
          <w:sz w:val="20"/>
          <w:szCs w:val="20"/>
        </w:rPr>
        <w:t>1.1. Твердые коммунальные отходы</w:t>
      </w:r>
      <w:r>
        <w:rPr>
          <w:rFonts w:ascii="Times New Roman" w:hAnsi="Times New Roman"/>
          <w:sz w:val="20"/>
          <w:szCs w:val="20"/>
        </w:rPr>
        <w:t xml:space="preserve"> (далее – </w:t>
      </w:r>
      <w:r>
        <w:rPr>
          <w:rFonts w:ascii="Times New Roman" w:hAnsi="Times New Roman"/>
          <w:b/>
          <w:sz w:val="20"/>
          <w:szCs w:val="20"/>
        </w:rPr>
        <w:t>ТКО</w:t>
      </w:r>
      <w:r>
        <w:rPr>
          <w:rFonts w:ascii="Times New Roman" w:hAnsi="Times New Roman"/>
          <w:sz w:val="20"/>
          <w:szCs w:val="20"/>
        </w:rPr>
        <w:t xml:space="preserve">) -  отходы, образующиеся в жилых помещениях в процессе потребления физическими лицами;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отходы, образующиеся в процессе </w:t>
      </w:r>
      <w:r>
        <w:rPr>
          <w:rFonts w:ascii="Times New Roman" w:hAnsi="Times New Roman" w:eastAsia="Arial Unicode MS"/>
          <w:color w:val="000000"/>
          <w:sz w:val="20"/>
          <w:szCs w:val="20"/>
          <w:lang w:eastAsia="ru-RU" w:bidi="ru-RU"/>
        </w:rPr>
        <w:t>деятельности</w:t>
      </w:r>
      <w:r>
        <w:rPr>
          <w:rFonts w:ascii="Times New Roman" w:hAnsi="Times New Roman"/>
          <w:sz w:val="20"/>
          <w:szCs w:val="20"/>
        </w:rPr>
        <w:t xml:space="preserve">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pPr>
        <w:pStyle w:val="18"/>
        <w:jc w:val="both"/>
        <w:rPr>
          <w:rFonts w:ascii="Times New Roman" w:hAnsi="Times New Roman"/>
          <w:sz w:val="20"/>
          <w:szCs w:val="20"/>
        </w:rPr>
      </w:pPr>
      <w:r>
        <w:rPr>
          <w:rFonts w:ascii="Times New Roman" w:hAnsi="Times New Roman"/>
          <w:b/>
          <w:sz w:val="20"/>
          <w:szCs w:val="20"/>
        </w:rPr>
        <w:t>1.2. Крупногабаритные отходы</w:t>
      </w:r>
      <w:r>
        <w:rPr>
          <w:rFonts w:ascii="Times New Roman" w:hAnsi="Times New Roman"/>
          <w:sz w:val="20"/>
          <w:szCs w:val="20"/>
        </w:rPr>
        <w:t xml:space="preserve"> - ТКО</w:t>
      </w:r>
      <w:r>
        <w:rPr>
          <w:rFonts w:ascii="Times New Roman" w:hAnsi="Times New Roman" w:eastAsia="Arial Unicode MS"/>
          <w:color w:val="000000"/>
          <w:sz w:val="20"/>
          <w:szCs w:val="20"/>
          <w:lang w:bidi="ru-RU"/>
        </w:rPr>
        <w:t xml:space="preserve"> (мебель, бытовая техника, отходы от текущего ремонта жилых помещений и др.), размер которых не позволяет осуществить их складирование в контейнерах.</w:t>
      </w:r>
    </w:p>
    <w:p>
      <w:pPr>
        <w:jc w:val="both"/>
        <w:rPr>
          <w:rFonts w:eastAsia="Calibri" w:cs="Times New Roman"/>
          <w:kern w:val="0"/>
          <w:sz w:val="20"/>
          <w:szCs w:val="20"/>
          <w:lang w:eastAsia="en-US" w:bidi="ar-SA"/>
        </w:rPr>
      </w:pPr>
      <w:r>
        <w:rPr>
          <w:rFonts w:eastAsia="Calibri" w:cs="Times New Roman"/>
          <w:b/>
          <w:kern w:val="0"/>
          <w:sz w:val="20"/>
          <w:szCs w:val="20"/>
          <w:lang w:eastAsia="en-US" w:bidi="ar-SA"/>
        </w:rPr>
        <w:t>1.3.</w:t>
      </w:r>
      <w:r>
        <w:rPr>
          <w:rFonts w:eastAsia="Calibri" w:cs="Times New Roman"/>
          <w:kern w:val="0"/>
          <w:sz w:val="20"/>
          <w:szCs w:val="20"/>
          <w:lang w:eastAsia="en-US" w:bidi="ar-SA"/>
        </w:rPr>
        <w:t xml:space="preserve"> </w:t>
      </w:r>
      <w:r>
        <w:rPr>
          <w:rFonts w:eastAsia="Calibri" w:cs="Times New Roman"/>
          <w:b/>
          <w:kern w:val="0"/>
          <w:sz w:val="20"/>
          <w:szCs w:val="20"/>
          <w:lang w:eastAsia="en-US" w:bidi="ar-SA"/>
        </w:rPr>
        <w:t>Потребитель</w:t>
      </w:r>
      <w:r>
        <w:rPr>
          <w:rFonts w:eastAsia="Calibri" w:cs="Times New Roman"/>
          <w:kern w:val="0"/>
          <w:sz w:val="20"/>
          <w:szCs w:val="20"/>
          <w:lang w:eastAsia="en-US" w:bidi="ar-SA"/>
        </w:rPr>
        <w:t xml:space="preserve"> – собственник ТКО, КГО или уполномоченное им лицо, заключившее или обязанное заключить с Региональным оператором Контракт на оказание услуг по обращению с ТКО.</w:t>
      </w:r>
    </w:p>
    <w:p>
      <w:pPr>
        <w:jc w:val="both"/>
        <w:rPr>
          <w:rFonts w:eastAsia="Calibri" w:cs="Times New Roman"/>
          <w:b/>
          <w:kern w:val="0"/>
          <w:sz w:val="20"/>
          <w:szCs w:val="20"/>
          <w:lang w:eastAsia="en-US" w:bidi="ar-SA"/>
        </w:rPr>
      </w:pPr>
      <w:r>
        <w:rPr>
          <w:rFonts w:eastAsia="Calibri" w:cs="Times New Roman"/>
          <w:b/>
          <w:kern w:val="0"/>
          <w:sz w:val="20"/>
          <w:szCs w:val="20"/>
          <w:lang w:eastAsia="en-US" w:bidi="ar-SA"/>
        </w:rPr>
        <w:t xml:space="preserve">1.4. Региональный оператор </w:t>
      </w:r>
      <w:r>
        <w:rPr>
          <w:rFonts w:eastAsia="Calibri" w:cs="Times New Roman"/>
          <w:kern w:val="0"/>
          <w:sz w:val="20"/>
          <w:szCs w:val="20"/>
          <w:lang w:eastAsia="en-US" w:bidi="ar-SA"/>
        </w:rPr>
        <w:t>- юридическое лицо, которому на основании конкурсного отбора присвоен статус регионального оператора, сроком на 10 лет и определена зона его деятельности, по обращению с твердыми коммунальными отходами.</w:t>
      </w:r>
      <w:r>
        <w:rPr>
          <w:rFonts w:eastAsia="Calibri" w:cs="Times New Roman"/>
          <w:b/>
          <w:kern w:val="0"/>
          <w:sz w:val="20"/>
          <w:szCs w:val="20"/>
          <w:lang w:eastAsia="en-US" w:bidi="ar-SA"/>
        </w:rPr>
        <w:t xml:space="preserve">  </w:t>
      </w:r>
    </w:p>
    <w:p>
      <w:pPr>
        <w:pStyle w:val="18"/>
        <w:jc w:val="both"/>
        <w:rPr>
          <w:rFonts w:ascii="Times New Roman" w:hAnsi="Times New Roman"/>
          <w:sz w:val="20"/>
          <w:szCs w:val="20"/>
        </w:rPr>
      </w:pPr>
    </w:p>
    <w:p>
      <w:pPr>
        <w:pStyle w:val="18"/>
        <w:numPr>
          <w:ilvl w:val="0"/>
          <w:numId w:val="1"/>
        </w:numPr>
        <w:jc w:val="both"/>
        <w:rPr>
          <w:rFonts w:ascii="Times New Roman" w:hAnsi="Times New Roman"/>
          <w:b/>
          <w:sz w:val="20"/>
          <w:szCs w:val="20"/>
        </w:rPr>
      </w:pPr>
      <w:r>
        <w:rPr>
          <w:rFonts w:ascii="Times New Roman" w:hAnsi="Times New Roman"/>
          <w:b/>
          <w:sz w:val="20"/>
          <w:szCs w:val="20"/>
        </w:rPr>
        <w:t>Предмет Контракта</w:t>
      </w:r>
    </w:p>
    <w:p>
      <w:pPr>
        <w:pStyle w:val="18"/>
        <w:jc w:val="both"/>
        <w:rPr>
          <w:rFonts w:ascii="Times New Roman" w:hAnsi="Times New Roman"/>
          <w:sz w:val="20"/>
          <w:szCs w:val="20"/>
        </w:rPr>
      </w:pPr>
      <w:r>
        <w:rPr>
          <w:rFonts w:ascii="Times New Roman" w:hAnsi="Times New Roman"/>
          <w:b/>
          <w:sz w:val="20"/>
          <w:szCs w:val="20"/>
        </w:rPr>
        <w:t>2.1.</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В рамках настоящего контракта на оказание услуг по обращению с ТКО (далее - Контракт) Региональный оператор обязуется принимать ТКО в объеме и в месте, которые определены в настоящем контракте (Приложение № 1) и обеспечивать их транспортирование, обработку,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 </w:t>
      </w:r>
    </w:p>
    <w:p>
      <w:pPr>
        <w:pStyle w:val="18"/>
        <w:jc w:val="both"/>
        <w:rPr>
          <w:rFonts w:ascii="Times New Roman" w:hAnsi="Times New Roman"/>
          <w:sz w:val="20"/>
          <w:szCs w:val="20"/>
        </w:rPr>
      </w:pPr>
      <w:r>
        <w:rPr>
          <w:rFonts w:ascii="Times New Roman" w:hAnsi="Times New Roman"/>
          <w:b/>
          <w:sz w:val="20"/>
          <w:szCs w:val="20"/>
        </w:rPr>
        <w:t>2.2.</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Порядок определения объема ТКО, места накопления ТКО, в том числе крупногабаритных отходов, периодичность вывоза ТКО определяются в Приложении № 1 к настоящему Контракту.</w:t>
      </w:r>
    </w:p>
    <w:p>
      <w:pPr>
        <w:pStyle w:val="18"/>
        <w:jc w:val="both"/>
        <w:rPr>
          <w:rFonts w:ascii="Times New Roman" w:hAnsi="Times New Roman"/>
          <w:sz w:val="20"/>
          <w:szCs w:val="20"/>
        </w:rPr>
      </w:pPr>
      <w:r>
        <w:rPr>
          <w:rFonts w:ascii="Times New Roman" w:hAnsi="Times New Roman"/>
          <w:b/>
          <w:sz w:val="20"/>
          <w:szCs w:val="20"/>
        </w:rPr>
        <w:t>2.3.</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Вывоз крупногабаритных отходов осуществляется на основании письменных заявок Потребителя. В заявке должна содержаться информация о перечне, объеме и месте складирования крупногабаритных отходов, подлежащих вывозу.  </w:t>
      </w:r>
    </w:p>
    <w:p>
      <w:pPr>
        <w:pStyle w:val="18"/>
        <w:jc w:val="both"/>
        <w:rPr>
          <w:rFonts w:ascii="Times New Roman" w:hAnsi="Times New Roman"/>
          <w:sz w:val="20"/>
          <w:szCs w:val="20"/>
        </w:rPr>
      </w:pPr>
      <w:r>
        <w:rPr>
          <w:rFonts w:ascii="Times New Roman" w:hAnsi="Times New Roman"/>
          <w:b/>
          <w:sz w:val="20"/>
          <w:szCs w:val="20"/>
        </w:rPr>
        <w:t>2.4.</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Способ складирования ТКО:</w:t>
      </w:r>
    </w:p>
    <w:p>
      <w:pPr>
        <w:pStyle w:val="18"/>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в контейнеры, расположенные на контейнерных площадках, в том числе крупногабаритных отходов - на специальных площадках складирования крупногабаритных отходов; адреса расположения контейнерных площадок и площадок для складирования крупногабаритных отходов указаны в Приложении № 1 к Контракту.</w:t>
      </w:r>
    </w:p>
    <w:p>
      <w:pPr>
        <w:pStyle w:val="18"/>
        <w:jc w:val="both"/>
        <w:rPr>
          <w:rFonts w:ascii="Times New Roman" w:hAnsi="Times New Roman"/>
          <w:b/>
          <w:sz w:val="20"/>
          <w:szCs w:val="20"/>
        </w:rPr>
      </w:pPr>
      <w:r>
        <w:rPr>
          <w:rFonts w:ascii="Times New Roman" w:hAnsi="Times New Roman"/>
          <w:b/>
          <w:sz w:val="20"/>
          <w:szCs w:val="20"/>
        </w:rPr>
        <w:t>2.5.</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Дата начала оказания услуг по обращению с ТКО: </w:t>
      </w:r>
      <w:r>
        <w:rPr>
          <w:rFonts w:ascii="Times New Roman" w:hAnsi="Times New Roman"/>
          <w:b/>
          <w:sz w:val="20"/>
          <w:szCs w:val="20"/>
        </w:rPr>
        <w:t>«____» ____________ 202_ года.</w:t>
      </w:r>
    </w:p>
    <w:p>
      <w:pPr>
        <w:pStyle w:val="18"/>
        <w:rPr>
          <w:rFonts w:ascii="Times New Roman" w:hAnsi="Times New Roman"/>
          <w:sz w:val="20"/>
          <w:szCs w:val="20"/>
        </w:rPr>
      </w:pPr>
      <w:r>
        <w:rPr>
          <w:rFonts w:ascii="Times New Roman" w:hAnsi="Times New Roman"/>
          <w:b/>
          <w:sz w:val="20"/>
          <w:szCs w:val="20"/>
        </w:rPr>
        <w:t>2.6.</w:t>
      </w:r>
      <w:r>
        <w:rPr>
          <w:rFonts w:ascii="Times New Roman" w:hAnsi="Times New Roman"/>
          <w:sz w:val="23"/>
          <w:szCs w:val="23"/>
        </w:rPr>
        <w:t xml:space="preserve"> </w:t>
      </w:r>
      <w:r>
        <w:rPr>
          <w:rFonts w:ascii="Times New Roman" w:hAnsi="Times New Roman"/>
          <w:sz w:val="20"/>
          <w:szCs w:val="20"/>
        </w:rPr>
        <w:t>Идентификационный код закупки: __________________________________________________________________.</w:t>
      </w:r>
    </w:p>
    <w:p>
      <w:pPr>
        <w:pStyle w:val="18"/>
        <w:jc w:val="both"/>
        <w:rPr>
          <w:rFonts w:ascii="Times New Roman" w:hAnsi="Times New Roman"/>
          <w:sz w:val="20"/>
          <w:szCs w:val="20"/>
          <w:vertAlign w:val="superscript"/>
        </w:rPr>
      </w:pPr>
      <w:r>
        <w:rPr>
          <w:rFonts w:ascii="Times New Roman" w:hAnsi="Times New Roman"/>
          <w:sz w:val="20"/>
          <w:szCs w:val="20"/>
          <w:vertAlign w:val="superscript"/>
        </w:rPr>
        <w:t xml:space="preserve">                                                                             (заполняется потребителем)</w:t>
      </w:r>
    </w:p>
    <w:p>
      <w:pPr>
        <w:pStyle w:val="18"/>
        <w:jc w:val="both"/>
        <w:rPr>
          <w:rFonts w:ascii="Times New Roman" w:hAnsi="Times New Roman"/>
          <w:sz w:val="20"/>
          <w:szCs w:val="20"/>
        </w:rPr>
      </w:pPr>
    </w:p>
    <w:p>
      <w:pPr>
        <w:pStyle w:val="18"/>
        <w:jc w:val="center"/>
        <w:rPr>
          <w:rFonts w:ascii="Times New Roman" w:hAnsi="Times New Roman"/>
          <w:b/>
          <w:sz w:val="20"/>
          <w:szCs w:val="20"/>
        </w:rPr>
      </w:pPr>
      <w:r>
        <w:rPr>
          <w:rFonts w:ascii="Times New Roman" w:hAnsi="Times New Roman"/>
          <w:b/>
          <w:sz w:val="20"/>
          <w:szCs w:val="20"/>
        </w:rPr>
        <w:t>3. Сроки и порядок оплаты по Контракту</w:t>
      </w:r>
    </w:p>
    <w:p>
      <w:pPr>
        <w:pStyle w:val="18"/>
        <w:jc w:val="both"/>
        <w:rPr>
          <w:rFonts w:ascii="Times New Roman" w:hAnsi="Times New Roman"/>
          <w:sz w:val="20"/>
          <w:szCs w:val="20"/>
        </w:rPr>
      </w:pPr>
      <w:r>
        <w:rPr>
          <w:rFonts w:ascii="Times New Roman" w:hAnsi="Times New Roman"/>
          <w:b/>
          <w:sz w:val="20"/>
          <w:szCs w:val="20"/>
        </w:rPr>
        <w:t>3.1.</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Общая цена настоящего Контракта составляет </w:t>
      </w:r>
      <w:r>
        <w:rPr>
          <w:rFonts w:ascii="Times New Roman" w:hAnsi="Times New Roman"/>
          <w:b/>
          <w:sz w:val="20"/>
          <w:szCs w:val="20"/>
        </w:rPr>
        <w:t xml:space="preserve">_____ руб., 00 коп. (сумма прописью), НДС не облагается. </w:t>
      </w:r>
      <w:r>
        <w:rPr>
          <w:rFonts w:ascii="Times New Roman" w:hAnsi="Times New Roman"/>
          <w:sz w:val="20"/>
          <w:szCs w:val="20"/>
        </w:rPr>
        <w:t>Цена Контракта включает в себя стоимость услуг, расходы по уплате обязательных платежей, а также иные расходы Регионального оператора, связанные с исполнением настоящего Контракта. Цена Контракта является твердой и определяется на весь срок исполнения Контракта, за исключением случаев, предусмотренных законодательством Российской Федерации.</w:t>
      </w:r>
    </w:p>
    <w:p>
      <w:pPr>
        <w:pStyle w:val="18"/>
        <w:jc w:val="both"/>
        <w:rPr>
          <w:rFonts w:ascii="Times New Roman" w:hAnsi="Times New Roman"/>
          <w:b/>
          <w:sz w:val="20"/>
          <w:szCs w:val="20"/>
        </w:rPr>
      </w:pPr>
      <w:r>
        <w:rPr>
          <w:rFonts w:ascii="Times New Roman" w:hAnsi="Times New Roman"/>
          <w:b/>
          <w:sz w:val="20"/>
          <w:szCs w:val="20"/>
        </w:rPr>
        <w:t xml:space="preserve">3.2. </w:t>
      </w:r>
      <w:r>
        <w:rPr>
          <w:rFonts w:ascii="Times New Roman" w:hAnsi="Times New Roman"/>
          <w:b/>
          <w:sz w:val="20"/>
          <w:szCs w:val="20"/>
        </w:rPr>
        <w:tab/>
      </w:r>
      <w:r>
        <w:rPr>
          <w:rFonts w:ascii="Times New Roman" w:hAnsi="Times New Roman"/>
          <w:b/>
          <w:sz w:val="20"/>
          <w:szCs w:val="20"/>
        </w:rPr>
        <w:t>Единый тариф на услугу Регионального оператора на момент заключения настоящего Контракта установлен приказом Министерства тарифной политики Красноярского края от _______ № ____ в размере:</w:t>
      </w:r>
    </w:p>
    <w:p>
      <w:pPr>
        <w:pStyle w:val="18"/>
        <w:jc w:val="both"/>
        <w:rPr>
          <w:rFonts w:ascii="Times New Roman" w:hAnsi="Times New Roman"/>
          <w:b/>
          <w:sz w:val="20"/>
          <w:szCs w:val="20"/>
        </w:rPr>
      </w:pPr>
      <w:r>
        <w:rPr>
          <w:rFonts w:ascii="Times New Roman" w:hAnsi="Times New Roman"/>
          <w:b/>
          <w:sz w:val="20"/>
          <w:szCs w:val="20"/>
        </w:rPr>
        <w:t>с «___» _______ 202_ года по «___» _______ 202_ года: _______ руб./м</w:t>
      </w:r>
      <w:r>
        <w:rPr>
          <w:rFonts w:ascii="Times New Roman" w:hAnsi="Times New Roman"/>
          <w:b/>
          <w:sz w:val="20"/>
          <w:szCs w:val="20"/>
          <w:vertAlign w:val="superscript"/>
        </w:rPr>
        <w:t>3</w:t>
      </w:r>
      <w:r>
        <w:rPr>
          <w:rFonts w:ascii="Times New Roman" w:hAnsi="Times New Roman"/>
          <w:b/>
          <w:sz w:val="20"/>
          <w:szCs w:val="20"/>
        </w:rPr>
        <w:t>, НДС не облагается.</w:t>
      </w:r>
    </w:p>
    <w:p>
      <w:pPr>
        <w:pStyle w:val="18"/>
        <w:jc w:val="both"/>
        <w:rPr>
          <w:rFonts w:ascii="Times New Roman" w:hAnsi="Times New Roman"/>
          <w:sz w:val="20"/>
          <w:szCs w:val="20"/>
        </w:rPr>
      </w:pPr>
      <w:r>
        <w:rPr>
          <w:rFonts w:ascii="Times New Roman" w:hAnsi="Times New Roman"/>
          <w:b/>
          <w:sz w:val="20"/>
          <w:szCs w:val="20"/>
        </w:rPr>
        <w:t>3.3.</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Под расчетным периодом по настоящему Контракту понимается один календарный месяц.  </w:t>
      </w:r>
    </w:p>
    <w:p>
      <w:pPr>
        <w:pStyle w:val="18"/>
        <w:jc w:val="both"/>
        <w:rPr>
          <w:rFonts w:ascii="Times New Roman" w:hAnsi="Times New Roman"/>
          <w:sz w:val="20"/>
          <w:szCs w:val="20"/>
        </w:rPr>
      </w:pPr>
      <w:r>
        <w:rPr>
          <w:rFonts w:ascii="Times New Roman" w:hAnsi="Times New Roman"/>
          <w:b/>
          <w:sz w:val="20"/>
          <w:szCs w:val="20"/>
        </w:rPr>
        <w:t>3.4.</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Оплата услуг по настоящему Контракту осуществляется по цене, определенной в пределах утвержденного в установленном порядке единого тарифа на услугу Регионального оператора.        </w:t>
      </w:r>
    </w:p>
    <w:p>
      <w:pPr>
        <w:pStyle w:val="18"/>
        <w:ind w:firstLine="708"/>
        <w:jc w:val="both"/>
        <w:rPr>
          <w:rFonts w:ascii="Times New Roman" w:hAnsi="Times New Roman"/>
          <w:b/>
          <w:bCs/>
          <w:sz w:val="20"/>
          <w:szCs w:val="20"/>
        </w:rPr>
      </w:pPr>
      <w:r>
        <w:rPr>
          <w:rFonts w:ascii="Times New Roman" w:hAnsi="Times New Roman"/>
          <w:b/>
          <w:bCs/>
          <w:sz w:val="20"/>
          <w:szCs w:val="20"/>
        </w:rPr>
        <w:t>Размер ежемесячной платы по контракту определяется как произведение единого тарифа на услугу Регионального оператора, общего объема контейнеров, установленных в местах накопления ТКО Потребителя, и периодичности вывоза ТКО. НДС не облагается.</w:t>
      </w:r>
    </w:p>
    <w:p>
      <w:pPr>
        <w:pStyle w:val="18"/>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В случае оказания в расчетном периоде услуг по обращению с крупногабаритными отходами, плата за оказание таких услуг включается в размер ежемесячной платы. </w:t>
      </w:r>
    </w:p>
    <w:p>
      <w:pPr>
        <w:pStyle w:val="18"/>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Размер платы за оказание услуг по обращению с крупногабаритными отходами определяется как произведение единого тарифа на услугу Регионального оператора и объема крупногабаритных отходов, услуга по обращению с которыми оказана в расчетном периоде.</w:t>
      </w:r>
    </w:p>
    <w:p>
      <w:pPr>
        <w:pStyle w:val="18"/>
        <w:jc w:val="both"/>
        <w:rPr>
          <w:rFonts w:ascii="Times New Roman" w:hAnsi="Times New Roman"/>
          <w:sz w:val="20"/>
          <w:szCs w:val="20"/>
        </w:rPr>
      </w:pPr>
      <w:r>
        <w:rPr>
          <w:rFonts w:ascii="Times New Roman" w:hAnsi="Times New Roman"/>
          <w:b/>
          <w:sz w:val="20"/>
          <w:szCs w:val="20"/>
        </w:rPr>
        <w:t>3.5.</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Оплата услуг по обращению с ТКО осуществляется Потребителем до 10 (десятого) числа месяца, следующего за отчетным, путем перечисления на расчетный счет Регионального оператора денежных средств в размере ежемесячной платы. Оплата услуг по обращению с ТКО за декабрь может производиться в декабре на основании выставленного счета.</w:t>
      </w:r>
    </w:p>
    <w:p>
      <w:pPr>
        <w:pStyle w:val="18"/>
        <w:jc w:val="both"/>
        <w:rPr>
          <w:rFonts w:ascii="Times New Roman" w:hAnsi="Times New Roman"/>
          <w:sz w:val="20"/>
          <w:szCs w:val="20"/>
        </w:rPr>
      </w:pPr>
      <w:r>
        <w:rPr>
          <w:rFonts w:ascii="Times New Roman" w:hAnsi="Times New Roman"/>
          <w:b/>
          <w:sz w:val="20"/>
          <w:szCs w:val="20"/>
        </w:rPr>
        <w:t>3.6.</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Если Потребитель оплатил услугу по настоящему Контракту и суммы оплаты недостаточно для погашения всех возникших обязательств, полученная сумма погашает тот период, срок исполнения которого наступил ранее, если в назначении платежа не указано иное. </w:t>
      </w:r>
    </w:p>
    <w:p>
      <w:pPr>
        <w:pStyle w:val="18"/>
        <w:jc w:val="both"/>
        <w:rPr>
          <w:rFonts w:ascii="Times New Roman" w:hAnsi="Times New Roman"/>
          <w:sz w:val="20"/>
          <w:szCs w:val="20"/>
        </w:rPr>
      </w:pPr>
      <w:r>
        <w:rPr>
          <w:rFonts w:ascii="Times New Roman" w:hAnsi="Times New Roman"/>
          <w:b/>
          <w:sz w:val="20"/>
          <w:szCs w:val="20"/>
        </w:rPr>
        <w:t>3.7.</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В случае изменения единого тарифа на услугу Регионального оператора и/или нормативов накопления ТКО, размер ежемесячной платы подлежит изменению с даты вступления в действие утвержденного в установленном порядке единого тарифа на услугу Регионального оператора и /или нормативов накопления ТКО.</w:t>
      </w:r>
    </w:p>
    <w:p>
      <w:pPr>
        <w:pStyle w:val="18"/>
        <w:jc w:val="both"/>
        <w:rPr>
          <w:rFonts w:ascii="Times New Roman" w:hAnsi="Times New Roman"/>
          <w:sz w:val="20"/>
          <w:szCs w:val="20"/>
        </w:rPr>
      </w:pPr>
      <w:r>
        <w:rPr>
          <w:rFonts w:ascii="Times New Roman" w:hAnsi="Times New Roman"/>
          <w:b/>
          <w:sz w:val="20"/>
          <w:szCs w:val="20"/>
        </w:rPr>
        <w:t>3.8.</w:t>
      </w:r>
      <w:r>
        <w:rPr>
          <w:rFonts w:ascii="Times New Roman" w:hAnsi="Times New Roman"/>
          <w:sz w:val="20"/>
          <w:szCs w:val="20"/>
        </w:rPr>
        <w:t xml:space="preserve"> В случаях, предусмотренных п. 3.7 Контракта, изменение цены производится без обязательного заключения дополнительного соглашения сторонами и без направления уведомления Региональным оператором в адрес Потребителя. Информацию об изменении единого тарифа на услугу Регионального оператора и/или нормативов накопления ТКО Потребитель самостоятельно  получает из СМИ, на сайте Регионального оператора рк24.рф или сайтах Министерства экологии и рационального природопользования Красноярского края и Министерства тарифной политики Красноярского края. По инициативе одной из сторон такое дополнительное соглашение может быть заключено.</w:t>
      </w:r>
    </w:p>
    <w:p>
      <w:pPr>
        <w:pStyle w:val="18"/>
        <w:jc w:val="both"/>
        <w:rPr>
          <w:rFonts w:ascii="Times New Roman" w:hAnsi="Times New Roman"/>
          <w:sz w:val="20"/>
          <w:szCs w:val="20"/>
        </w:rPr>
      </w:pPr>
      <w:r>
        <w:rPr>
          <w:rFonts w:ascii="Times New Roman" w:hAnsi="Times New Roman"/>
          <w:b/>
          <w:sz w:val="20"/>
          <w:szCs w:val="20"/>
        </w:rPr>
        <w:t>3.9.</w:t>
      </w:r>
      <w:r>
        <w:rPr>
          <w:rFonts w:ascii="Times New Roman" w:hAnsi="Times New Roman"/>
          <w:color w:val="FF0000"/>
          <w:sz w:val="20"/>
          <w:szCs w:val="20"/>
        </w:rPr>
        <w:t xml:space="preserve"> </w:t>
      </w:r>
      <w:r>
        <w:rPr>
          <w:rFonts w:ascii="Times New Roman" w:hAnsi="Times New Roman"/>
          <w:color w:val="FF0000"/>
          <w:sz w:val="20"/>
          <w:szCs w:val="20"/>
        </w:rPr>
        <w:tab/>
      </w:r>
      <w:r>
        <w:rPr>
          <w:rFonts w:ascii="Times New Roman" w:hAnsi="Times New Roman"/>
          <w:sz w:val="20"/>
          <w:szCs w:val="20"/>
        </w:rPr>
        <w:t>В случае вывоза дополнительных объемов ТКО в расчетном периоде Региональным оператором составляется соответствующий акт. Акт составляется на основании заявки Потребители или самостоятельно Региональным оператором. Если акт составляется по заявке Потребителя, то при составлении акта Потребитель обязан присутствовать. В случае отсутствия Потребителя акт составляется Региональным оператором в одностороннем порядке и  направляется для подписания Потребителю, который в течение 5 рабочих дней с момента его получения подписывает и возвращает один экземпляр Региональному оператору. В случае немотивированного отказа от подписания или невозвращения экземпляра акта в указанный срок, он считается подписанным, а услуги оказанными и принятыми в полном объеме и подлежат оплате Потребителем в срок, установленный пунктом 3.4 Контракта. Фактический объём ТКО Региональный оператор при необходимости подтверждает фото или видеофиксацией.</w:t>
      </w:r>
    </w:p>
    <w:p>
      <w:pPr>
        <w:pStyle w:val="18"/>
        <w:jc w:val="both"/>
        <w:rPr>
          <w:rFonts w:ascii="Times New Roman" w:hAnsi="Times New Roman"/>
          <w:sz w:val="20"/>
          <w:szCs w:val="20"/>
        </w:rPr>
      </w:pPr>
      <w:r>
        <w:rPr>
          <w:rFonts w:ascii="Times New Roman" w:hAnsi="Times New Roman"/>
          <w:b/>
          <w:sz w:val="20"/>
          <w:szCs w:val="20"/>
        </w:rPr>
        <w:t>3.10.</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Исполнением обязательств по оплате считается дата поступления денежных средств на расчетный счет Регионального оператора.</w:t>
      </w:r>
    </w:p>
    <w:p>
      <w:pPr>
        <w:pStyle w:val="18"/>
        <w:jc w:val="both"/>
        <w:rPr>
          <w:rFonts w:ascii="Times New Roman" w:hAnsi="Times New Roman"/>
          <w:sz w:val="20"/>
          <w:szCs w:val="20"/>
        </w:rPr>
      </w:pPr>
      <w:r>
        <w:rPr>
          <w:rFonts w:ascii="Times New Roman" w:hAnsi="Times New Roman"/>
          <w:b/>
          <w:sz w:val="20"/>
          <w:szCs w:val="20"/>
        </w:rPr>
        <w:t>3.11.</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Региональный оператор предоставляет Потребителю универсальный передаточный документ (далее – УПД), в котором отражается расчет ежемесячной платы по Контракту.     </w:t>
      </w:r>
    </w:p>
    <w:p>
      <w:pPr>
        <w:pStyle w:val="18"/>
        <w:jc w:val="both"/>
        <w:rPr>
          <w:rFonts w:ascii="Times New Roman" w:hAnsi="Times New Roman"/>
          <w:sz w:val="20"/>
          <w:szCs w:val="20"/>
        </w:rPr>
      </w:pPr>
      <w:r>
        <w:rPr>
          <w:rFonts w:ascii="Times New Roman" w:hAnsi="Times New Roman"/>
          <w:b/>
          <w:sz w:val="20"/>
          <w:szCs w:val="20"/>
        </w:rPr>
        <w:t>3.12.</w:t>
      </w:r>
      <w:bookmarkStart w:id="0" w:name="_Hlk114130416"/>
      <w:r>
        <w:rPr>
          <w:rFonts w:ascii="Times New Roman" w:hAnsi="Times New Roman"/>
          <w:b/>
          <w:sz w:val="20"/>
          <w:szCs w:val="20"/>
        </w:rPr>
        <w:tab/>
      </w:r>
      <w:r>
        <w:rPr>
          <w:rFonts w:ascii="Times New Roman" w:hAnsi="Times New Roman"/>
          <w:sz w:val="20"/>
          <w:szCs w:val="20"/>
        </w:rPr>
        <w:t xml:space="preserve">Региональный оператор предоставляет Потребителю 2 экземпляра УПД и счет не позднее пятого числа месяца, следующего за месяцем оказания услуг, одним из следующих способов: </w:t>
      </w:r>
    </w:p>
    <w:p>
      <w:pPr>
        <w:pStyle w:val="18"/>
        <w:jc w:val="both"/>
        <w:rPr>
          <w:rFonts w:ascii="Times New Roman" w:hAnsi="Times New Roman"/>
          <w:sz w:val="20"/>
          <w:szCs w:val="20"/>
        </w:rPr>
      </w:pPr>
      <w:r>
        <w:rPr>
          <w:rFonts w:ascii="Times New Roman" w:hAnsi="Times New Roman"/>
          <w:sz w:val="20"/>
          <w:szCs w:val="20"/>
        </w:rPr>
        <w:t>1) посредством электронного документооборота (СБИС);</w:t>
      </w:r>
    </w:p>
    <w:p>
      <w:pPr>
        <w:pStyle w:val="18"/>
        <w:jc w:val="both"/>
        <w:rPr>
          <w:rFonts w:ascii="Times New Roman" w:hAnsi="Times New Roman"/>
          <w:sz w:val="20"/>
          <w:szCs w:val="20"/>
        </w:rPr>
      </w:pPr>
      <w:r>
        <w:rPr>
          <w:rFonts w:ascii="Times New Roman" w:hAnsi="Times New Roman"/>
          <w:sz w:val="20"/>
          <w:szCs w:val="20"/>
        </w:rPr>
        <w:t>2) посредством электронной почты, указанной в Разделе 13 настоящего Контракта. Документы, переданные через электронную почту, будут считаться официальными и имеющими юридическую силу, с последующим обязательным подтверждением оригиналами, полученными Потребителем в порядке подпункта 3 пункта 3.12. настоящего Контракта;</w:t>
      </w:r>
    </w:p>
    <w:p>
      <w:pPr>
        <w:pStyle w:val="18"/>
        <w:jc w:val="both"/>
        <w:rPr>
          <w:rFonts w:ascii="Times New Roman" w:hAnsi="Times New Roman"/>
          <w:sz w:val="20"/>
          <w:szCs w:val="20"/>
        </w:rPr>
      </w:pPr>
      <w:r>
        <w:rPr>
          <w:rFonts w:ascii="Times New Roman" w:hAnsi="Times New Roman"/>
          <w:sz w:val="20"/>
          <w:szCs w:val="20"/>
        </w:rPr>
        <w:t xml:space="preserve">3) выдача нарочно в офисе Регионального оператора по адресу: </w:t>
      </w:r>
    </w:p>
    <w:p>
      <w:pPr>
        <w:pStyle w:val="18"/>
        <w:jc w:val="both"/>
        <w:rPr>
          <w:rFonts w:ascii="Times New Roman" w:hAnsi="Times New Roman"/>
          <w:sz w:val="20"/>
          <w:szCs w:val="20"/>
          <w:u w:val="single"/>
        </w:rPr>
      </w:pPr>
      <w:r>
        <w:rPr>
          <w:rFonts w:ascii="Times New Roman" w:hAnsi="Times New Roman"/>
          <w:sz w:val="20"/>
          <w:szCs w:val="20"/>
          <w:u w:val="single"/>
        </w:rPr>
        <w:t xml:space="preserve">- </w:t>
      </w:r>
      <w:r>
        <w:rPr>
          <w:rFonts w:ascii="Times New Roman" w:hAnsi="Times New Roman"/>
          <w:b/>
          <w:sz w:val="20"/>
          <w:szCs w:val="20"/>
          <w:u w:val="single"/>
        </w:rPr>
        <w:t>660018, Красноярский край, г. Красноярск, ул. Куйбышева, д. 93, пом. 124.</w:t>
      </w:r>
    </w:p>
    <w:p>
      <w:pPr>
        <w:pStyle w:val="18"/>
        <w:jc w:val="both"/>
        <w:rPr>
          <w:rFonts w:ascii="Times New Roman" w:hAnsi="Times New Roman"/>
          <w:sz w:val="20"/>
          <w:szCs w:val="20"/>
        </w:rPr>
      </w:pPr>
      <w:r>
        <w:rPr>
          <w:rFonts w:ascii="Times New Roman" w:hAnsi="Times New Roman"/>
          <w:sz w:val="20"/>
          <w:szCs w:val="20"/>
        </w:rPr>
        <w:t>УПД за декабрь текущего года предоставляется потребителю не позднее 20 декабря соответствующего года.</w:t>
      </w:r>
    </w:p>
    <w:p>
      <w:pPr>
        <w:pStyle w:val="18"/>
        <w:jc w:val="both"/>
      </w:pPr>
      <w:r>
        <w:rPr>
          <w:rFonts w:ascii="Times New Roman" w:hAnsi="Times New Roman"/>
          <w:sz w:val="20"/>
          <w:szCs w:val="20"/>
        </w:rPr>
        <w:t>Потребитель подписывает и возвращает УПД Региональному оператору не позднее 10 (десятого) числа месяца, следующего за месяцем оказания услуг.</w:t>
      </w:r>
    </w:p>
    <w:p>
      <w:pPr>
        <w:pStyle w:val="18"/>
        <w:jc w:val="both"/>
        <w:rPr>
          <w:rFonts w:ascii="Times New Roman" w:hAnsi="Times New Roman"/>
          <w:sz w:val="20"/>
          <w:szCs w:val="20"/>
        </w:rPr>
      </w:pPr>
      <w:r>
        <w:rPr>
          <w:rFonts w:ascii="Times New Roman" w:hAnsi="Times New Roman"/>
          <w:sz w:val="20"/>
          <w:szCs w:val="20"/>
        </w:rPr>
        <w:t>Если Потребитель не получил, не подписал или не возвратил экземпляр УПД в установленные выше сроки и не представил письменных возражений УПД считается подписанным, а услуги оказанными и принятыми в полном объеме и подлежат оплате Потребителем в срок, указанный в п. 3.5. настоящего Контракта</w:t>
      </w:r>
      <w:bookmarkEnd w:id="0"/>
      <w:r>
        <w:rPr>
          <w:rFonts w:ascii="Times New Roman" w:hAnsi="Times New Roman"/>
          <w:sz w:val="20"/>
          <w:szCs w:val="20"/>
        </w:rPr>
        <w:t>.</w:t>
      </w:r>
    </w:p>
    <w:p>
      <w:pPr>
        <w:pStyle w:val="18"/>
        <w:jc w:val="both"/>
        <w:rPr>
          <w:rFonts w:ascii="Times New Roman" w:hAnsi="Times New Roman"/>
          <w:sz w:val="20"/>
          <w:szCs w:val="20"/>
        </w:rPr>
      </w:pPr>
      <w:r>
        <w:rPr>
          <w:rFonts w:ascii="Times New Roman" w:hAnsi="Times New Roman"/>
          <w:b/>
          <w:sz w:val="20"/>
          <w:szCs w:val="20"/>
        </w:rPr>
        <w:t>3.13.</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При достижении сторонами согласия, оформленного дополнительным соглашением к </w:t>
      </w:r>
      <w:r>
        <w:rPr>
          <w:rFonts w:ascii="Times New Roman" w:hAnsi="Times New Roman" w:eastAsia="Times New Roman"/>
          <w:bCs/>
          <w:sz w:val="20"/>
          <w:szCs w:val="20"/>
          <w:lang w:eastAsia="ru-RU"/>
        </w:rPr>
        <w:t>Контракту</w:t>
      </w:r>
      <w:r>
        <w:rPr>
          <w:rFonts w:ascii="Times New Roman" w:hAnsi="Times New Roman"/>
          <w:sz w:val="20"/>
          <w:szCs w:val="20"/>
        </w:rPr>
        <w:t xml:space="preserve">, Региональный оператор в оговоренные сроки направляет Потребителю первичные бухгалтерские документы в электронном виде. </w:t>
      </w:r>
    </w:p>
    <w:p>
      <w:pPr>
        <w:pStyle w:val="18"/>
        <w:jc w:val="both"/>
        <w:rPr>
          <w:rFonts w:ascii="Times New Roman" w:hAnsi="Times New Roman"/>
          <w:sz w:val="20"/>
          <w:szCs w:val="20"/>
        </w:rPr>
      </w:pPr>
      <w:r>
        <w:rPr>
          <w:rFonts w:ascii="Times New Roman" w:hAnsi="Times New Roman"/>
          <w:b/>
          <w:sz w:val="20"/>
          <w:szCs w:val="20"/>
        </w:rPr>
        <w:t>3.14.</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Сверка расчетов по настоящему контракту проводится по волеизъявлению Сторон, путем составления и подписания Сторонами соответствующих актов сверки взаимных расчетов. Сторона, инициирующая проведение сверки взаимных расчетов по настоящему контракту, направляет другой Стороне два экземпляра подписанного со своей стороны акта сверки взаимных расчетов.</w:t>
      </w:r>
    </w:p>
    <w:p>
      <w:pPr>
        <w:pStyle w:val="18"/>
        <w:jc w:val="both"/>
        <w:rPr>
          <w:rFonts w:ascii="Times New Roman" w:hAnsi="Times New Roman"/>
          <w:sz w:val="20"/>
          <w:szCs w:val="20"/>
        </w:rPr>
      </w:pPr>
      <w:r>
        <w:rPr>
          <w:rFonts w:ascii="Times New Roman" w:hAnsi="Times New Roman"/>
          <w:b/>
          <w:sz w:val="20"/>
          <w:szCs w:val="20"/>
        </w:rPr>
        <w:t>3.15.</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Срок для рассмотрения и подписания акта сверки взаимных расчетов составляет 10 (десять) рабочих дней с даты его получения Стороной. В случае неподписания или невозвращения экземпляра акта сверки Стороне, инициирующей проведение сверки, акт сверки считается подписанным.</w:t>
      </w:r>
    </w:p>
    <w:p>
      <w:pPr>
        <w:pStyle w:val="18"/>
        <w:jc w:val="both"/>
        <w:rPr>
          <w:rFonts w:ascii="Times New Roman" w:hAnsi="Times New Roman"/>
          <w:sz w:val="20"/>
          <w:szCs w:val="20"/>
        </w:rPr>
      </w:pPr>
      <w:r>
        <w:rPr>
          <w:rFonts w:ascii="Times New Roman" w:hAnsi="Times New Roman"/>
          <w:b/>
          <w:bCs/>
          <w:sz w:val="20"/>
          <w:szCs w:val="20"/>
        </w:rPr>
        <w:t>3.16.</w:t>
      </w:r>
      <w:r>
        <w:rPr>
          <w:rFonts w:ascii="Times New Roman" w:hAnsi="Times New Roman"/>
          <w:sz w:val="20"/>
          <w:szCs w:val="20"/>
        </w:rPr>
        <w:t xml:space="preserve">     В случае неполучения акта сверки Стороной, в адрес которой направлены два экземпляра акта сверки, акт сверки считается согласованным и подписанным обеими Сторонами.</w:t>
      </w:r>
    </w:p>
    <w:p>
      <w:pPr>
        <w:pStyle w:val="18"/>
        <w:jc w:val="both"/>
        <w:rPr>
          <w:rFonts w:ascii="Times New Roman" w:hAnsi="Times New Roman"/>
          <w:sz w:val="20"/>
          <w:szCs w:val="20"/>
        </w:rPr>
      </w:pPr>
      <w:r>
        <w:rPr>
          <w:rFonts w:ascii="Times New Roman" w:hAnsi="Times New Roman"/>
          <w:b/>
          <w:sz w:val="20"/>
          <w:szCs w:val="20"/>
        </w:rPr>
        <w:t>3.17.</w:t>
      </w:r>
      <w:r>
        <w:rPr>
          <w:rFonts w:ascii="Times New Roman" w:hAnsi="Times New Roman"/>
          <w:sz w:val="20"/>
          <w:szCs w:val="20"/>
        </w:rPr>
        <w:t xml:space="preserve">  Стороны пришли к соглашению, что положения статьи 317.1 ГК РФ не распространяются на отношения, возникшие в рамках настоящего </w:t>
      </w:r>
      <w:r>
        <w:rPr>
          <w:rFonts w:ascii="Times New Roman" w:hAnsi="Times New Roman" w:eastAsia="Times New Roman"/>
          <w:bCs/>
          <w:sz w:val="20"/>
          <w:szCs w:val="20"/>
          <w:lang w:eastAsia="ru-RU"/>
        </w:rPr>
        <w:t>Контракта</w:t>
      </w:r>
      <w:r>
        <w:rPr>
          <w:rFonts w:ascii="Times New Roman" w:hAnsi="Times New Roman"/>
          <w:sz w:val="20"/>
          <w:szCs w:val="20"/>
        </w:rPr>
        <w:t>.</w:t>
      </w:r>
    </w:p>
    <w:p>
      <w:pPr>
        <w:pStyle w:val="18"/>
        <w:rPr>
          <w:rFonts w:ascii="Times New Roman" w:hAnsi="Times New Roman"/>
          <w:sz w:val="20"/>
          <w:szCs w:val="20"/>
        </w:rPr>
      </w:pPr>
      <w:r>
        <w:rPr>
          <w:rFonts w:ascii="Times New Roman" w:hAnsi="Times New Roman"/>
          <w:b/>
          <w:bCs/>
          <w:sz w:val="20"/>
          <w:szCs w:val="20"/>
        </w:rPr>
        <w:t xml:space="preserve">3.18.   </w:t>
      </w:r>
      <w:r>
        <w:rPr>
          <w:rFonts w:ascii="Times New Roman" w:hAnsi="Times New Roman"/>
          <w:sz w:val="20"/>
          <w:szCs w:val="20"/>
        </w:rPr>
        <w:t xml:space="preserve"> Источник финансирования по Контракту: _________________________________________________________.</w:t>
      </w:r>
    </w:p>
    <w:p>
      <w:pPr>
        <w:pStyle w:val="18"/>
        <w:rPr>
          <w:rFonts w:ascii="Times New Roman" w:hAnsi="Times New Roman"/>
          <w:sz w:val="20"/>
          <w:szCs w:val="20"/>
          <w:vertAlign w:val="superscript"/>
        </w:rPr>
      </w:pPr>
      <w:r>
        <w:rPr>
          <w:rFonts w:ascii="Times New Roman" w:hAnsi="Times New Roman"/>
          <w:sz w:val="20"/>
          <w:szCs w:val="20"/>
          <w:vertAlign w:val="superscript"/>
        </w:rPr>
        <w:tab/>
      </w:r>
      <w:r>
        <w:rPr>
          <w:rFonts w:ascii="Times New Roman" w:hAnsi="Times New Roman"/>
          <w:sz w:val="20"/>
          <w:szCs w:val="20"/>
          <w:vertAlign w:val="superscript"/>
        </w:rPr>
        <w:t xml:space="preserve">                                              (заполняется потребителем)</w:t>
      </w:r>
    </w:p>
    <w:p>
      <w:pPr>
        <w:pStyle w:val="18"/>
        <w:jc w:val="center"/>
        <w:rPr>
          <w:rFonts w:ascii="Times New Roman" w:hAnsi="Times New Roman"/>
          <w:b/>
          <w:sz w:val="20"/>
          <w:szCs w:val="20"/>
        </w:rPr>
      </w:pPr>
    </w:p>
    <w:p>
      <w:pPr>
        <w:pStyle w:val="18"/>
        <w:jc w:val="center"/>
        <w:rPr>
          <w:rFonts w:ascii="Times New Roman" w:hAnsi="Times New Roman"/>
          <w:b/>
          <w:sz w:val="20"/>
          <w:szCs w:val="20"/>
        </w:rPr>
      </w:pPr>
      <w:r>
        <w:rPr>
          <w:rFonts w:ascii="Times New Roman" w:hAnsi="Times New Roman"/>
          <w:b/>
          <w:sz w:val="20"/>
          <w:szCs w:val="20"/>
        </w:rPr>
        <w:t>4. Бремя содержания контейнерных площадок и территории,</w:t>
      </w:r>
    </w:p>
    <w:p>
      <w:pPr>
        <w:pStyle w:val="18"/>
        <w:jc w:val="center"/>
        <w:rPr>
          <w:rFonts w:ascii="Times New Roman" w:hAnsi="Times New Roman"/>
          <w:b/>
          <w:sz w:val="20"/>
          <w:szCs w:val="20"/>
        </w:rPr>
      </w:pPr>
      <w:r>
        <w:rPr>
          <w:rFonts w:ascii="Times New Roman" w:hAnsi="Times New Roman"/>
          <w:b/>
          <w:sz w:val="20"/>
          <w:szCs w:val="20"/>
        </w:rPr>
        <w:t>прилегающей к месту погрузки ТКО</w:t>
      </w:r>
    </w:p>
    <w:p>
      <w:pPr>
        <w:pStyle w:val="18"/>
        <w:jc w:val="both"/>
        <w:rPr>
          <w:rFonts w:ascii="Times New Roman" w:hAnsi="Times New Roman"/>
          <w:sz w:val="20"/>
          <w:szCs w:val="20"/>
        </w:rPr>
      </w:pPr>
      <w:r>
        <w:rPr>
          <w:rFonts w:ascii="Times New Roman" w:hAnsi="Times New Roman"/>
          <w:b/>
          <w:sz w:val="20"/>
          <w:szCs w:val="20"/>
        </w:rPr>
        <w:t>4.1.</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Региональный оператор отвечает за обращение с ТКО с момента погрузки таких отходов в мусоровоз в местах накопления ТКО.</w:t>
      </w:r>
    </w:p>
    <w:p>
      <w:pPr>
        <w:pStyle w:val="18"/>
        <w:jc w:val="both"/>
        <w:rPr>
          <w:rFonts w:ascii="Times New Roman" w:hAnsi="Times New Roman"/>
          <w:sz w:val="20"/>
          <w:szCs w:val="20"/>
        </w:rPr>
      </w:pPr>
      <w:r>
        <w:rPr>
          <w:rFonts w:ascii="Times New Roman" w:hAnsi="Times New Roman"/>
          <w:b/>
          <w:sz w:val="20"/>
          <w:szCs w:val="20"/>
        </w:rPr>
        <w:t>4.2.</w:t>
      </w:r>
      <w:r>
        <w:rPr>
          <w:rFonts w:ascii="Times New Roman" w:hAnsi="Times New Roman"/>
          <w:sz w:val="20"/>
          <w:szCs w:val="20"/>
        </w:rPr>
        <w:tab/>
      </w:r>
      <w:r>
        <w:rPr>
          <w:rFonts w:ascii="Times New Roman" w:hAnsi="Times New Roman"/>
          <w:sz w:val="20"/>
          <w:szCs w:val="20"/>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ТКО, несет Потребитель или органы местного самоуправления муниципальных образований, в границах которых расположены такие площадки, если иное не установлено законодательством Российской Федерации.</w:t>
      </w:r>
    </w:p>
    <w:p>
      <w:pPr>
        <w:pStyle w:val="18"/>
        <w:jc w:val="both"/>
        <w:rPr>
          <w:rFonts w:ascii="Times New Roman" w:hAnsi="Times New Roman" w:eastAsia="Arial Unicode MS"/>
          <w:color w:val="000000"/>
          <w:sz w:val="20"/>
          <w:szCs w:val="20"/>
          <w:lang w:eastAsia="ru-RU" w:bidi="ru-RU"/>
        </w:rPr>
      </w:pPr>
    </w:p>
    <w:p>
      <w:pPr>
        <w:pStyle w:val="18"/>
        <w:jc w:val="center"/>
        <w:rPr>
          <w:rFonts w:ascii="Times New Roman" w:hAnsi="Times New Roman"/>
          <w:b/>
          <w:sz w:val="20"/>
          <w:szCs w:val="20"/>
        </w:rPr>
      </w:pPr>
      <w:r>
        <w:rPr>
          <w:rFonts w:ascii="Times New Roman" w:hAnsi="Times New Roman"/>
          <w:b/>
          <w:sz w:val="20"/>
          <w:szCs w:val="20"/>
        </w:rPr>
        <w:t>5.  Права и обязанности сторон</w:t>
      </w:r>
    </w:p>
    <w:p>
      <w:pPr>
        <w:pStyle w:val="18"/>
        <w:jc w:val="both"/>
        <w:rPr>
          <w:rFonts w:ascii="Times New Roman" w:hAnsi="Times New Roman"/>
          <w:sz w:val="20"/>
          <w:szCs w:val="20"/>
        </w:rPr>
      </w:pPr>
      <w:r>
        <w:rPr>
          <w:rFonts w:ascii="Times New Roman" w:hAnsi="Times New Roman"/>
          <w:b/>
          <w:sz w:val="20"/>
          <w:szCs w:val="20"/>
        </w:rPr>
        <w:t>5.1.</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Региональный оператор обязан:</w:t>
      </w:r>
    </w:p>
    <w:p>
      <w:pPr>
        <w:pStyle w:val="18"/>
        <w:jc w:val="both"/>
        <w:rPr>
          <w:rFonts w:ascii="Times New Roman" w:hAnsi="Times New Roman"/>
          <w:sz w:val="20"/>
          <w:szCs w:val="20"/>
        </w:rPr>
      </w:pPr>
      <w:r>
        <w:rPr>
          <w:rFonts w:ascii="Times New Roman" w:hAnsi="Times New Roman"/>
          <w:sz w:val="20"/>
          <w:szCs w:val="20"/>
        </w:rPr>
        <w:t xml:space="preserve">а) принимать ТКО в объеме и в местах, которые определены в </w:t>
      </w:r>
      <w:r>
        <w:fldChar w:fldCharType="begin"/>
      </w:r>
      <w:r>
        <w:instrText xml:space="preserve"> HYPERLINK \l "Par175" </w:instrText>
      </w:r>
      <w:r>
        <w:fldChar w:fldCharType="separate"/>
      </w:r>
      <w:r>
        <w:rPr>
          <w:rFonts w:ascii="Times New Roman" w:hAnsi="Times New Roman"/>
          <w:sz w:val="20"/>
          <w:szCs w:val="20"/>
        </w:rPr>
        <w:t>Приложении</w:t>
      </w:r>
      <w:r>
        <w:rPr>
          <w:rFonts w:ascii="Times New Roman" w:hAnsi="Times New Roman"/>
          <w:sz w:val="20"/>
          <w:szCs w:val="20"/>
        </w:rPr>
        <w:fldChar w:fldCharType="end"/>
      </w:r>
      <w:r>
        <w:rPr>
          <w:rFonts w:ascii="Times New Roman" w:hAnsi="Times New Roman"/>
          <w:sz w:val="20"/>
          <w:szCs w:val="20"/>
        </w:rPr>
        <w:t xml:space="preserve"> №1 к настоящему Контракту;</w:t>
      </w:r>
    </w:p>
    <w:p>
      <w:pPr>
        <w:pStyle w:val="18"/>
        <w:jc w:val="both"/>
        <w:rPr>
          <w:rFonts w:ascii="Times New Roman" w:hAnsi="Times New Roman"/>
          <w:sz w:val="20"/>
          <w:szCs w:val="20"/>
        </w:rPr>
      </w:pPr>
      <w:r>
        <w:rPr>
          <w:rFonts w:ascii="Times New Roman" w:hAnsi="Times New Roman"/>
          <w:sz w:val="20"/>
          <w:szCs w:val="20"/>
        </w:rPr>
        <w:t>б) обеспечивать транспортирование, обработку, захоронение принятых ТКО, в соответствии с законодательством Российской Федерации;</w:t>
      </w:r>
    </w:p>
    <w:p>
      <w:pPr>
        <w:pStyle w:val="18"/>
        <w:jc w:val="both"/>
        <w:rPr>
          <w:rFonts w:ascii="Times New Roman" w:hAnsi="Times New Roman"/>
          <w:sz w:val="20"/>
          <w:szCs w:val="20"/>
        </w:rPr>
      </w:pPr>
      <w:r>
        <w:rPr>
          <w:rFonts w:ascii="Times New Roman" w:hAnsi="Times New Roman"/>
          <w:sz w:val="20"/>
          <w:szCs w:val="20"/>
        </w:rPr>
        <w:t>в) 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pPr>
        <w:pStyle w:val="18"/>
        <w:jc w:val="both"/>
        <w:rPr>
          <w:rFonts w:ascii="Times New Roman" w:hAnsi="Times New Roman"/>
          <w:sz w:val="20"/>
          <w:szCs w:val="20"/>
        </w:rPr>
      </w:pPr>
      <w:r>
        <w:rPr>
          <w:rFonts w:ascii="Times New Roman" w:hAnsi="Times New Roman"/>
          <w:sz w:val="20"/>
          <w:szCs w:val="20"/>
        </w:rPr>
        <w:t>г) отвечать на жалобы и обращения Потребителя по вопросам, связанным с исполнением настоящего Контракта, в течение срока, установленного законодательством РФ для рассмотрения обращений граждан;</w:t>
      </w:r>
    </w:p>
    <w:p>
      <w:pPr>
        <w:pStyle w:val="18"/>
        <w:jc w:val="both"/>
        <w:rPr>
          <w:rFonts w:ascii="Times New Roman" w:hAnsi="Times New Roman"/>
          <w:sz w:val="20"/>
          <w:szCs w:val="20"/>
        </w:rPr>
      </w:pPr>
      <w:r>
        <w:rPr>
          <w:rFonts w:ascii="Times New Roman" w:hAnsi="Times New Roman"/>
          <w:sz w:val="20"/>
          <w:szCs w:val="20"/>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pPr>
        <w:pStyle w:val="18"/>
        <w:jc w:val="both"/>
        <w:rPr>
          <w:rFonts w:ascii="Times New Roman" w:hAnsi="Times New Roman"/>
          <w:sz w:val="20"/>
          <w:szCs w:val="20"/>
        </w:rPr>
      </w:pPr>
      <w:r>
        <w:rPr>
          <w:rFonts w:ascii="Times New Roman" w:hAnsi="Times New Roman"/>
          <w:b/>
          <w:sz w:val="20"/>
          <w:szCs w:val="20"/>
        </w:rPr>
        <w:t>5.2.</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Региональный оператор имеет право:</w:t>
      </w:r>
    </w:p>
    <w:p>
      <w:pPr>
        <w:pStyle w:val="18"/>
        <w:jc w:val="both"/>
        <w:rPr>
          <w:rFonts w:ascii="Times New Roman" w:hAnsi="Times New Roman"/>
          <w:sz w:val="20"/>
          <w:szCs w:val="20"/>
        </w:rPr>
      </w:pPr>
      <w:r>
        <w:rPr>
          <w:rFonts w:ascii="Times New Roman" w:hAnsi="Times New Roman"/>
          <w:sz w:val="20"/>
          <w:szCs w:val="20"/>
        </w:rPr>
        <w:t>а) осуществлять контроль за учетом объема принятых ТКО;</w:t>
      </w:r>
    </w:p>
    <w:p>
      <w:pPr>
        <w:pStyle w:val="18"/>
        <w:jc w:val="both"/>
        <w:rPr>
          <w:rFonts w:ascii="Times New Roman" w:hAnsi="Times New Roman"/>
          <w:sz w:val="20"/>
          <w:szCs w:val="20"/>
        </w:rPr>
      </w:pPr>
      <w:r>
        <w:rPr>
          <w:rFonts w:ascii="Times New Roman" w:hAnsi="Times New Roman"/>
          <w:sz w:val="20"/>
          <w:szCs w:val="20"/>
        </w:rPr>
        <w:t>б) не принимать от Потребителя отходы, не относящиеся к ТКО;</w:t>
      </w:r>
    </w:p>
    <w:p>
      <w:pPr>
        <w:pStyle w:val="18"/>
        <w:jc w:val="both"/>
        <w:rPr>
          <w:rFonts w:ascii="Times New Roman" w:hAnsi="Times New Roman"/>
          <w:sz w:val="20"/>
          <w:szCs w:val="20"/>
        </w:rPr>
      </w:pPr>
      <w:r>
        <w:rPr>
          <w:rFonts w:ascii="Times New Roman" w:hAnsi="Times New Roman"/>
          <w:sz w:val="20"/>
          <w:szCs w:val="20"/>
        </w:rPr>
        <w:t>в) инициировать проведение сверки расчетов по настоящему контракту;</w:t>
      </w:r>
    </w:p>
    <w:p>
      <w:pPr>
        <w:pStyle w:val="18"/>
        <w:jc w:val="both"/>
        <w:rPr>
          <w:rFonts w:ascii="Times New Roman" w:hAnsi="Times New Roman"/>
          <w:sz w:val="20"/>
          <w:szCs w:val="20"/>
        </w:rPr>
      </w:pPr>
      <w:r>
        <w:rPr>
          <w:rFonts w:ascii="Times New Roman" w:hAnsi="Times New Roman"/>
          <w:sz w:val="20"/>
          <w:szCs w:val="20"/>
        </w:rPr>
        <w:t>г) требовать от Потребителя оплаты услуг по обращению с ТКО в порядке и размере, определенных пунктами 3.2.- 3.5 настоящего Контракта;</w:t>
      </w:r>
    </w:p>
    <w:p>
      <w:pPr>
        <w:pStyle w:val="18"/>
        <w:jc w:val="both"/>
        <w:rPr>
          <w:rFonts w:ascii="Times New Roman" w:hAnsi="Times New Roman"/>
          <w:sz w:val="20"/>
          <w:szCs w:val="20"/>
        </w:rPr>
      </w:pPr>
      <w:r>
        <w:rPr>
          <w:rFonts w:ascii="Times New Roman" w:hAnsi="Times New Roman"/>
          <w:sz w:val="20"/>
          <w:szCs w:val="20"/>
        </w:rPr>
        <w:t>д) приостановить оказание услуг в случае нарушения Потребителем сроков и порядка оплаты, предусмотренных пунктами 3.2. – 3.5 настоящего Контракта.</w:t>
      </w:r>
    </w:p>
    <w:p>
      <w:pPr>
        <w:pStyle w:val="18"/>
        <w:jc w:val="both"/>
        <w:rPr>
          <w:rFonts w:ascii="Times New Roman" w:hAnsi="Times New Roman"/>
          <w:sz w:val="20"/>
          <w:szCs w:val="20"/>
        </w:rPr>
      </w:pPr>
      <w:r>
        <w:rPr>
          <w:rFonts w:ascii="Times New Roman" w:hAnsi="Times New Roman"/>
          <w:sz w:val="20"/>
          <w:szCs w:val="20"/>
        </w:rPr>
        <w:t>е) привлекать к исполнению Контракта третьих лиц, при этом ответственность перед Потребителем за действия третьих лиц несет Региональный оператор.</w:t>
      </w:r>
    </w:p>
    <w:p>
      <w:pPr>
        <w:pStyle w:val="18"/>
        <w:jc w:val="both"/>
        <w:rPr>
          <w:rFonts w:ascii="Times New Roman" w:hAnsi="Times New Roman"/>
          <w:sz w:val="20"/>
          <w:szCs w:val="20"/>
        </w:rPr>
      </w:pPr>
      <w:r>
        <w:rPr>
          <w:rFonts w:ascii="Times New Roman" w:hAnsi="Times New Roman"/>
          <w:sz w:val="20"/>
          <w:szCs w:val="20"/>
        </w:rPr>
        <w:t>ж) запрашивать у Потребителя документы, подтверждающие его правоспособность - уставные  документы, выписку из ЕГРЮЛ, и др., документы подтверждающие право собственности (владения, пользования) помещением (зданием) в котором ведется хозяйственная деятельность Потребителя, производить проверку достоверности заявленных Потребителем сведений о количестве расчетных единиц, составлять акты.</w:t>
      </w:r>
    </w:p>
    <w:p>
      <w:pPr>
        <w:pStyle w:val="18"/>
        <w:jc w:val="both"/>
        <w:rPr>
          <w:rFonts w:ascii="Times New Roman" w:hAnsi="Times New Roman"/>
          <w:sz w:val="20"/>
          <w:szCs w:val="20"/>
        </w:rPr>
      </w:pPr>
      <w:r>
        <w:rPr>
          <w:rFonts w:ascii="Times New Roman" w:hAnsi="Times New Roman"/>
          <w:b/>
          <w:sz w:val="20"/>
          <w:szCs w:val="20"/>
        </w:rPr>
        <w:t>5.3.</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Потребитель обязан:</w:t>
      </w:r>
    </w:p>
    <w:p>
      <w:pPr>
        <w:pStyle w:val="18"/>
        <w:jc w:val="both"/>
        <w:rPr>
          <w:rFonts w:ascii="Times New Roman" w:hAnsi="Times New Roman"/>
          <w:sz w:val="20"/>
          <w:szCs w:val="20"/>
        </w:rPr>
      </w:pPr>
      <w:r>
        <w:rPr>
          <w:rFonts w:ascii="Times New Roman" w:hAnsi="Times New Roman"/>
          <w:sz w:val="20"/>
          <w:szCs w:val="20"/>
        </w:rPr>
        <w:t xml:space="preserve">а) предоставлять Региональному оператору перечень ТКО, образующихся в процессе деятельности Потребителя (Приложение № 2 к настоящему Контракту); </w:t>
      </w:r>
    </w:p>
    <w:p>
      <w:pPr>
        <w:pStyle w:val="18"/>
        <w:jc w:val="both"/>
        <w:rPr>
          <w:rFonts w:ascii="Times New Roman" w:hAnsi="Times New Roman"/>
          <w:sz w:val="20"/>
          <w:szCs w:val="20"/>
        </w:rPr>
      </w:pPr>
      <w:r>
        <w:rPr>
          <w:rFonts w:ascii="Times New Roman" w:hAnsi="Times New Roman"/>
          <w:sz w:val="20"/>
          <w:szCs w:val="20"/>
        </w:rPr>
        <w:t>б) подтверждать отнесение ТКО к определенному классу опасности соответствующими документами, установленными уполномоченными государственными органами (паспортами опасных отходов и лимитами на размещение отходов). При не предоставлении вышеуказанных документов ответственность за нарушение природоохранного законодательства РФ возлагается на Потребителя;</w:t>
      </w:r>
    </w:p>
    <w:p>
      <w:pPr>
        <w:pStyle w:val="18"/>
        <w:jc w:val="both"/>
        <w:rPr>
          <w:rFonts w:ascii="Times New Roman" w:hAnsi="Times New Roman"/>
          <w:sz w:val="20"/>
          <w:szCs w:val="20"/>
        </w:rPr>
      </w:pPr>
      <w:r>
        <w:rPr>
          <w:rFonts w:ascii="Times New Roman" w:hAnsi="Times New Roman"/>
          <w:sz w:val="20"/>
          <w:szCs w:val="20"/>
        </w:rPr>
        <w:t xml:space="preserve">в) осуществлять складирование ТКО в местах накопления отходов, определенных настоящим Контрактом; </w:t>
      </w:r>
    </w:p>
    <w:p>
      <w:pPr>
        <w:pStyle w:val="18"/>
        <w:jc w:val="both"/>
        <w:rPr>
          <w:rFonts w:ascii="Times New Roman" w:hAnsi="Times New Roman"/>
          <w:sz w:val="20"/>
          <w:szCs w:val="20"/>
        </w:rPr>
      </w:pPr>
      <w:r>
        <w:rPr>
          <w:rFonts w:ascii="Times New Roman" w:hAnsi="Times New Roman"/>
          <w:sz w:val="20"/>
          <w:szCs w:val="20"/>
        </w:rPr>
        <w:t xml:space="preserve">г) обеспечивать учет объема и (или) массы ТКО в соответствии с Правилами коммерческого учета объема и (или) массы ТКО, утвержденными постановлением Правительства РФ от 03.06.2016 № 505 </w:t>
      </w:r>
      <w:r>
        <w:rPr>
          <w:rFonts w:ascii="Times New Roman" w:hAnsi="Times New Roman"/>
          <w:spacing w:val="-3"/>
          <w:sz w:val="20"/>
          <w:szCs w:val="20"/>
        </w:rPr>
        <w:t xml:space="preserve">«Об </w:t>
      </w:r>
      <w:r>
        <w:rPr>
          <w:rFonts w:ascii="Times New Roman" w:hAnsi="Times New Roman"/>
          <w:sz w:val="20"/>
          <w:szCs w:val="20"/>
        </w:rPr>
        <w:t>утверждении Правил коммерческого учета объема и (или) массы ТКО»;</w:t>
      </w:r>
    </w:p>
    <w:p>
      <w:pPr>
        <w:pStyle w:val="18"/>
        <w:jc w:val="both"/>
        <w:rPr>
          <w:rFonts w:ascii="Times New Roman" w:hAnsi="Times New Roman"/>
          <w:sz w:val="20"/>
          <w:szCs w:val="20"/>
        </w:rPr>
      </w:pPr>
      <w:r>
        <w:rPr>
          <w:rFonts w:ascii="Times New Roman" w:hAnsi="Times New Roman"/>
          <w:sz w:val="20"/>
          <w:szCs w:val="20"/>
        </w:rPr>
        <w:t>д) производить оплату по настоящему контракту в порядке, размере и сроки, предусмотренные разделом 3 настоящего Контракта;</w:t>
      </w:r>
    </w:p>
    <w:p>
      <w:pPr>
        <w:pStyle w:val="18"/>
        <w:jc w:val="both"/>
        <w:rPr>
          <w:rFonts w:ascii="Times New Roman" w:hAnsi="Times New Roman"/>
          <w:sz w:val="20"/>
          <w:szCs w:val="20"/>
        </w:rPr>
      </w:pPr>
      <w:r>
        <w:rPr>
          <w:rFonts w:ascii="Times New Roman" w:hAnsi="Times New Roman"/>
          <w:sz w:val="20"/>
          <w:szCs w:val="20"/>
        </w:rPr>
        <w:t>е) не допускать повреждения контейнеров, предоставленных Региональным оператором;</w:t>
      </w:r>
    </w:p>
    <w:p>
      <w:pPr>
        <w:pStyle w:val="18"/>
        <w:jc w:val="both"/>
        <w:rPr>
          <w:rFonts w:ascii="Times New Roman" w:hAnsi="Times New Roman"/>
          <w:sz w:val="20"/>
          <w:szCs w:val="20"/>
        </w:rPr>
      </w:pPr>
      <w:r>
        <w:rPr>
          <w:rFonts w:ascii="Times New Roman" w:hAnsi="Times New Roman"/>
          <w:sz w:val="20"/>
          <w:szCs w:val="20"/>
        </w:rPr>
        <w:t>ж) не допускать попадания в состав ТКО мусора, образующегося при капитальном ремонте и строительстве, горящих, горячих, раскаленных или тлеющих отходов, золы и прочих опасных отходов, тяжеловесных и крупногабаритных отходов, радиоактивных отходов, медицинских отходов (классов Б – Д), иных запрещенных к приему на захоронение на полигонах твердых бытовых отходов, а также снега и льда, осветительных приборов и ртутьсодержащих электрических ламп, батарей и аккумуляторов, а также иных отходов, которые могут причинить вред жизни и здоровью лиц, работающих на объекте размещения (захоронения) отходов, или нарушить режим их работы;</w:t>
      </w:r>
    </w:p>
    <w:p>
      <w:pPr>
        <w:pStyle w:val="18"/>
        <w:jc w:val="both"/>
        <w:rPr>
          <w:rFonts w:ascii="Times New Roman" w:hAnsi="Times New Roman"/>
          <w:sz w:val="20"/>
          <w:szCs w:val="20"/>
        </w:rPr>
      </w:pPr>
      <w:r>
        <w:rPr>
          <w:rFonts w:ascii="Times New Roman" w:hAnsi="Times New Roman"/>
          <w:sz w:val="20"/>
          <w:szCs w:val="20"/>
        </w:rPr>
        <w:t>з) осуществлять сбор ТКО в офисах и других административных и иных помещениях в специальные полиэтиленовые мешки и пакеты (кассовые чеки и бумагу мелких фракций в обязательном порядке) в целях недопущения загрязнения территорий объекта размещения отходов при их разгрузке;</w:t>
      </w:r>
    </w:p>
    <w:p>
      <w:pPr>
        <w:pStyle w:val="18"/>
        <w:jc w:val="both"/>
        <w:rPr>
          <w:rFonts w:ascii="Times New Roman" w:hAnsi="Times New Roman"/>
          <w:sz w:val="20"/>
          <w:szCs w:val="20"/>
        </w:rPr>
      </w:pPr>
      <w:r>
        <w:rPr>
          <w:rFonts w:ascii="Times New Roman" w:hAnsi="Times New Roman"/>
          <w:sz w:val="20"/>
          <w:szCs w:val="20"/>
        </w:rPr>
        <w:t xml:space="preserve">и) </w:t>
      </w:r>
      <w:bookmarkStart w:id="1" w:name="_Hlk114130570"/>
      <w:r>
        <w:rPr>
          <w:rFonts w:ascii="Times New Roman" w:hAnsi="Times New Roman"/>
          <w:sz w:val="20"/>
          <w:szCs w:val="20"/>
        </w:rPr>
        <w:t>обеспечивать беспрепятственный доступ к контейнерному оборудованию, в том числе путем очистки подъездных путей к контейнерным площадкам и поверхности контейнерной площадки от снега, льда и иных препятствий в случае, если контейнерная площадка принадлежит потребителю</w:t>
      </w:r>
      <w:bookmarkEnd w:id="1"/>
      <w:r>
        <w:rPr>
          <w:rFonts w:ascii="Times New Roman" w:hAnsi="Times New Roman"/>
          <w:sz w:val="20"/>
          <w:szCs w:val="20"/>
        </w:rPr>
        <w:t>.</w:t>
      </w:r>
    </w:p>
    <w:p>
      <w:pPr>
        <w:pStyle w:val="18"/>
        <w:jc w:val="both"/>
        <w:rPr>
          <w:rFonts w:ascii="Times New Roman" w:hAnsi="Times New Roman"/>
          <w:sz w:val="20"/>
          <w:szCs w:val="20"/>
        </w:rPr>
      </w:pPr>
      <w:r>
        <w:rPr>
          <w:rFonts w:ascii="Times New Roman" w:hAnsi="Times New Roman"/>
          <w:sz w:val="20"/>
          <w:szCs w:val="20"/>
        </w:rPr>
        <w:t>к)</w:t>
      </w:r>
      <w:r>
        <w:rPr>
          <w:rFonts w:ascii="Times New Roman" w:hAnsi="Times New Roman"/>
        </w:rPr>
        <w:t xml:space="preserve"> </w:t>
      </w:r>
      <w:r>
        <w:rPr>
          <w:rFonts w:ascii="Times New Roman" w:hAnsi="Times New Roman"/>
          <w:sz w:val="20"/>
          <w:szCs w:val="20"/>
        </w:rPr>
        <w:t>произвести модернизацию контейнерного оборудования, в соответствии с техническими требованиями мусоровоза регионального оператора, если контейнерное оборудование, принадлежащее потребителю, не соответствует техническим требованиям мусоровоза регионального оператора.</w:t>
      </w:r>
    </w:p>
    <w:p>
      <w:pPr>
        <w:pStyle w:val="18"/>
        <w:jc w:val="both"/>
        <w:rPr>
          <w:rFonts w:ascii="Times New Roman" w:hAnsi="Times New Roman"/>
          <w:sz w:val="20"/>
          <w:szCs w:val="20"/>
        </w:rPr>
      </w:pPr>
      <w:r>
        <w:rPr>
          <w:rFonts w:ascii="Times New Roman" w:hAnsi="Times New Roman"/>
          <w:sz w:val="20"/>
          <w:szCs w:val="20"/>
        </w:rPr>
        <w:t>л) извещать Регионального оператора (письменно) до 08 числа месяца, следующего за расчетным, о нарушении условий настоящего Контракта и предъявлять претензии по объему или качеству услуг. По истечении указанного срока претензии по объему и/или качеству услуг Региональным оператором не принимаются, стоимость услуг перерасчету не подлежит, а обязательства Регионального оператора считаются исполненными в полном объеме на условиях настоящего Контракта.</w:t>
      </w:r>
    </w:p>
    <w:p>
      <w:pPr>
        <w:pStyle w:val="18"/>
        <w:jc w:val="both"/>
        <w:rPr>
          <w:rFonts w:ascii="Times New Roman" w:hAnsi="Times New Roman"/>
          <w:sz w:val="20"/>
          <w:szCs w:val="20"/>
        </w:rPr>
      </w:pPr>
      <w:r>
        <w:rPr>
          <w:rFonts w:ascii="Times New Roman" w:hAnsi="Times New Roman"/>
          <w:sz w:val="20"/>
          <w:szCs w:val="20"/>
        </w:rPr>
        <w:t xml:space="preserve">м) подписывать УПД и возвращать один экземпляр Региональному оператору </w:t>
      </w:r>
      <w:bookmarkStart w:id="2" w:name="_Hlk114130621"/>
      <w:r>
        <w:rPr>
          <w:rFonts w:ascii="Times New Roman" w:hAnsi="Times New Roman"/>
          <w:sz w:val="20"/>
          <w:szCs w:val="20"/>
        </w:rPr>
        <w:t>не позднее 10 числа месяца, следующего за расчетным</w:t>
      </w:r>
      <w:bookmarkEnd w:id="2"/>
      <w:r>
        <w:rPr>
          <w:rFonts w:ascii="Times New Roman" w:hAnsi="Times New Roman"/>
          <w:sz w:val="20"/>
          <w:szCs w:val="20"/>
        </w:rPr>
        <w:t>. В случае не подписания или невозвращения экземпляра УПД в указанный срок, УПД считается подписанным, а услуги оказанными и принятыми в полном объеме и подлежат оплате Потребителем в срок, указанный в настоящем Контракте.</w:t>
      </w:r>
    </w:p>
    <w:p>
      <w:pPr>
        <w:pStyle w:val="18"/>
        <w:jc w:val="both"/>
        <w:rPr>
          <w:rFonts w:ascii="Times New Roman" w:hAnsi="Times New Roman"/>
          <w:sz w:val="20"/>
          <w:szCs w:val="20"/>
        </w:rPr>
      </w:pPr>
      <w:r>
        <w:rPr>
          <w:rFonts w:ascii="Times New Roman" w:hAnsi="Times New Roman"/>
          <w:sz w:val="20"/>
          <w:szCs w:val="20"/>
        </w:rPr>
        <w:t>н) извещать Регионального оператора о предстоящей ликвидации (реорганизации) Потребителя юридического лица или банкротстве, не менее чем за месяц, способом (почтовое отправление, информационно-телекоммуникационная сеть «Интернет»), позволяющим подтвердить получение такого уведомления адресатом.</w:t>
      </w:r>
    </w:p>
    <w:p>
      <w:pPr>
        <w:pStyle w:val="18"/>
        <w:jc w:val="both"/>
        <w:rPr>
          <w:rFonts w:ascii="Times New Roman" w:hAnsi="Times New Roman"/>
          <w:sz w:val="20"/>
          <w:szCs w:val="20"/>
        </w:rPr>
      </w:pPr>
      <w:r>
        <w:rPr>
          <w:rFonts w:ascii="Times New Roman" w:hAnsi="Times New Roman"/>
          <w:sz w:val="20"/>
          <w:szCs w:val="20"/>
        </w:rPr>
        <w:t>о) назначить лицо ответственное за взаимодействие с Региональным оператором по вопросам исполнения настоящего контракта.</w:t>
      </w:r>
    </w:p>
    <w:p>
      <w:pPr>
        <w:jc w:val="both"/>
        <w:rPr>
          <w:rFonts w:eastAsia="Segoe UI" w:cs="Times New Roman"/>
          <w:kern w:val="0"/>
          <w:sz w:val="20"/>
          <w:szCs w:val="20"/>
          <w:shd w:val="clear" w:color="auto" w:fill="FFFFFF"/>
          <w:lang w:eastAsia="zh-CN" w:bidi="ar"/>
        </w:rPr>
      </w:pPr>
      <w:r>
        <w:rPr>
          <w:sz w:val="20"/>
          <w:szCs w:val="20"/>
        </w:rPr>
        <w:t xml:space="preserve">п) самостоятельно или с привлечением специализированных организаций </w:t>
      </w:r>
      <w:r>
        <w:rPr>
          <w:rFonts w:eastAsia="Arial" w:cs="Times New Roman"/>
          <w:kern w:val="0"/>
          <w:sz w:val="20"/>
          <w:szCs w:val="20"/>
          <w:shd w:val="clear" w:color="auto" w:fill="FFFFFF"/>
          <w:lang w:eastAsia="zh-CN" w:bidi="ar"/>
        </w:rPr>
        <w:t xml:space="preserve">обеспечить </w:t>
      </w:r>
      <w:r>
        <w:rPr>
          <w:rFonts w:cs="Times New Roman"/>
          <w:sz w:val="20"/>
          <w:szCs w:val="20"/>
        </w:rPr>
        <w:t xml:space="preserve">промывку контейнеров и (или) бункеров в специально оборудованных для этого местах в соответствии с </w:t>
      </w:r>
      <w:r>
        <w:rPr>
          <w:rFonts w:eastAsia="Segoe UI" w:cs="Times New Roman"/>
          <w:kern w:val="0"/>
          <w:sz w:val="20"/>
          <w:szCs w:val="20"/>
          <w:shd w:val="clear" w:color="auto" w:fill="FFFFFF"/>
          <w:lang w:eastAsia="zh-CN" w:bidi="ar"/>
        </w:rPr>
        <w:t>СП 2.1.3684-21;</w:t>
      </w:r>
    </w:p>
    <w:p>
      <w:pPr>
        <w:widowControl/>
        <w:jc w:val="both"/>
        <w:rPr>
          <w:rFonts w:ascii="Segoe UI" w:hAnsi="Segoe UI" w:eastAsia="Segoe UI" w:cs="Segoe UI"/>
          <w:kern w:val="0"/>
          <w:sz w:val="20"/>
          <w:szCs w:val="20"/>
          <w:shd w:val="clear" w:color="auto" w:fill="FFFFFF"/>
          <w:lang w:eastAsia="zh-CN" w:bidi="ar"/>
        </w:rPr>
      </w:pPr>
      <w:r>
        <w:rPr>
          <w:rFonts w:eastAsia="Segoe UI" w:cs="Times New Roman"/>
          <w:kern w:val="0"/>
          <w:sz w:val="20"/>
          <w:szCs w:val="20"/>
          <w:shd w:val="clear" w:color="auto" w:fill="FFFFFF"/>
          <w:lang w:eastAsia="zh-CN" w:bidi="ar"/>
        </w:rPr>
        <w:t xml:space="preserve">р) самостоятельно или с привлечением специализированных организаций обеспечить </w:t>
      </w:r>
      <w:r>
        <w:rPr>
          <w:rFonts w:cs="Times New Roman"/>
          <w:sz w:val="20"/>
          <w:szCs w:val="20"/>
        </w:rPr>
        <w:t xml:space="preserve">проведение уборки, дезинсекции и дератизации контейнерной и (или) специальной площадки и в зависимости от температуры наружного воздуха, количества контейнеров на площадке, расстояния до нормируемых объектов в соответствии с </w:t>
      </w:r>
      <w:r>
        <w:rPr>
          <w:rFonts w:eastAsia="Segoe UI" w:cs="Times New Roman"/>
          <w:kern w:val="0"/>
          <w:sz w:val="20"/>
          <w:szCs w:val="20"/>
          <w:shd w:val="clear" w:color="auto" w:fill="FFFFFF"/>
          <w:lang w:eastAsia="zh-CN" w:bidi="ar"/>
        </w:rPr>
        <w:t>СП 2.1.3684-21.</w:t>
      </w:r>
    </w:p>
    <w:p>
      <w:pPr>
        <w:pStyle w:val="18"/>
        <w:jc w:val="both"/>
        <w:rPr>
          <w:rFonts w:ascii="Times New Roman" w:hAnsi="Times New Roman"/>
          <w:sz w:val="20"/>
          <w:szCs w:val="20"/>
        </w:rPr>
      </w:pPr>
      <w:r>
        <w:rPr>
          <w:rFonts w:ascii="Times New Roman" w:hAnsi="Times New Roman"/>
          <w:b/>
          <w:sz w:val="20"/>
          <w:szCs w:val="20"/>
        </w:rPr>
        <w:t>5.4.</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Потребитель имеет право:</w:t>
      </w:r>
    </w:p>
    <w:p>
      <w:pPr>
        <w:pStyle w:val="18"/>
        <w:jc w:val="both"/>
        <w:rPr>
          <w:rFonts w:ascii="Times New Roman" w:hAnsi="Times New Roman"/>
          <w:sz w:val="20"/>
          <w:szCs w:val="20"/>
        </w:rPr>
      </w:pPr>
      <w:r>
        <w:rPr>
          <w:rFonts w:ascii="Times New Roman" w:hAnsi="Times New Roman"/>
          <w:sz w:val="20"/>
          <w:szCs w:val="20"/>
        </w:rPr>
        <w:t>а) получать от Регионального оператора информацию об изменении установленных тарифов в области обращения с твердыми коммунальными отходами;</w:t>
      </w:r>
    </w:p>
    <w:p>
      <w:pPr>
        <w:pStyle w:val="18"/>
        <w:jc w:val="both"/>
        <w:rPr>
          <w:rFonts w:ascii="Times New Roman" w:hAnsi="Times New Roman"/>
          <w:sz w:val="20"/>
          <w:szCs w:val="20"/>
        </w:rPr>
      </w:pPr>
      <w:r>
        <w:rPr>
          <w:rFonts w:ascii="Times New Roman" w:hAnsi="Times New Roman"/>
          <w:sz w:val="20"/>
          <w:szCs w:val="20"/>
        </w:rPr>
        <w:t>б) инициировать проведение сверки расчетов по настоящему Контракту.</w:t>
      </w:r>
    </w:p>
    <w:p>
      <w:pPr>
        <w:pStyle w:val="18"/>
        <w:jc w:val="both"/>
        <w:rPr>
          <w:rFonts w:ascii="Times New Roman" w:hAnsi="Times New Roman"/>
          <w:sz w:val="20"/>
          <w:szCs w:val="20"/>
        </w:rPr>
      </w:pPr>
    </w:p>
    <w:p>
      <w:pPr>
        <w:pStyle w:val="18"/>
        <w:numPr>
          <w:ilvl w:val="0"/>
          <w:numId w:val="2"/>
        </w:numPr>
        <w:jc w:val="both"/>
        <w:rPr>
          <w:rFonts w:ascii="Times New Roman" w:hAnsi="Times New Roman"/>
          <w:b/>
          <w:sz w:val="20"/>
          <w:szCs w:val="20"/>
        </w:rPr>
      </w:pPr>
      <w:r>
        <w:rPr>
          <w:rFonts w:ascii="Times New Roman" w:hAnsi="Times New Roman"/>
          <w:b/>
          <w:sz w:val="20"/>
          <w:szCs w:val="20"/>
        </w:rPr>
        <w:t>Порядок осуществления учета объема ТКО</w:t>
      </w:r>
    </w:p>
    <w:p>
      <w:pPr>
        <w:pStyle w:val="18"/>
        <w:jc w:val="both"/>
        <w:rPr>
          <w:rFonts w:ascii="Times New Roman" w:hAnsi="Times New Roman"/>
          <w:sz w:val="20"/>
          <w:szCs w:val="20"/>
        </w:rPr>
      </w:pPr>
      <w:r>
        <w:rPr>
          <w:rFonts w:ascii="Times New Roman" w:hAnsi="Times New Roman"/>
          <w:b/>
          <w:sz w:val="20"/>
          <w:szCs w:val="20"/>
        </w:rPr>
        <w:t>6.1.</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Стороны согласились производить коммерческий учет объема ТКО в соответствии с Правилами коммерческого учета объема и (или) массы ТКО, утвержденными постановлением Правительства  РФ от 03.06.2016 № 505 «Об утверждении Правил  коммерческого  учета  объема  и  (или)  массы  ТКО», расчетным путем исходя из количества и объема контейнеров для накопления твердых коммунальных отходов, установленных в местах накопления твердых коммунальных отходов Потребителя.</w:t>
      </w:r>
    </w:p>
    <w:p>
      <w:pPr>
        <w:pStyle w:val="18"/>
        <w:jc w:val="both"/>
        <w:rPr>
          <w:rFonts w:ascii="Times New Roman" w:hAnsi="Times New Roman"/>
          <w:sz w:val="20"/>
          <w:szCs w:val="20"/>
        </w:rPr>
      </w:pPr>
      <w:r>
        <w:rPr>
          <w:rFonts w:ascii="Times New Roman" w:hAnsi="Times New Roman"/>
          <w:b/>
          <w:sz w:val="20"/>
          <w:szCs w:val="20"/>
        </w:rPr>
        <w:t>6.2.</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Объем крупногабаритных отходов определяется Региональным оператором при их вывозе и указывается в универсальном передаточном документе (УПД), отражающем расчет ежемесячной платы по Контракту.</w:t>
      </w:r>
    </w:p>
    <w:p>
      <w:pPr>
        <w:pStyle w:val="18"/>
        <w:jc w:val="both"/>
        <w:rPr>
          <w:rFonts w:ascii="Times New Roman" w:hAnsi="Times New Roman"/>
          <w:sz w:val="20"/>
          <w:szCs w:val="20"/>
        </w:rPr>
      </w:pPr>
      <w:r>
        <w:rPr>
          <w:rFonts w:ascii="Times New Roman" w:hAnsi="Times New Roman"/>
          <w:b/>
          <w:sz w:val="20"/>
          <w:szCs w:val="20"/>
        </w:rPr>
        <w:t>6.3.</w:t>
      </w:r>
      <w:r>
        <w:rPr>
          <w:rFonts w:ascii="Times New Roman" w:hAnsi="Times New Roman"/>
          <w:sz w:val="20"/>
          <w:szCs w:val="20"/>
        </w:rPr>
        <w:tab/>
      </w:r>
      <w:r>
        <w:rPr>
          <w:rFonts w:ascii="Times New Roman" w:hAnsi="Times New Roman"/>
          <w:sz w:val="20"/>
          <w:szCs w:val="20"/>
        </w:rPr>
        <w:t>Объем отходов, выгружаемых из контейнера, считается равным объему контейнера.</w:t>
      </w:r>
    </w:p>
    <w:p>
      <w:pPr>
        <w:pStyle w:val="18"/>
        <w:jc w:val="both"/>
        <w:rPr>
          <w:rFonts w:ascii="Times New Roman" w:hAnsi="Times New Roman"/>
          <w:sz w:val="20"/>
          <w:szCs w:val="20"/>
        </w:rPr>
      </w:pPr>
    </w:p>
    <w:p>
      <w:pPr>
        <w:pStyle w:val="18"/>
        <w:numPr>
          <w:ilvl w:val="0"/>
          <w:numId w:val="2"/>
        </w:numPr>
        <w:jc w:val="both"/>
        <w:rPr>
          <w:rFonts w:ascii="Times New Roman" w:hAnsi="Times New Roman"/>
          <w:b/>
          <w:sz w:val="20"/>
          <w:szCs w:val="20"/>
        </w:rPr>
      </w:pPr>
      <w:r>
        <w:rPr>
          <w:rFonts w:ascii="Times New Roman" w:hAnsi="Times New Roman"/>
          <w:b/>
          <w:sz w:val="20"/>
          <w:szCs w:val="20"/>
        </w:rPr>
        <w:t>Порядок фиксации нарушений по Контракту</w:t>
      </w:r>
    </w:p>
    <w:p>
      <w:pPr>
        <w:pStyle w:val="18"/>
        <w:jc w:val="both"/>
        <w:rPr>
          <w:rFonts w:ascii="Times New Roman" w:hAnsi="Times New Roman"/>
          <w:sz w:val="20"/>
          <w:szCs w:val="20"/>
        </w:rPr>
      </w:pPr>
      <w:r>
        <w:rPr>
          <w:rFonts w:ascii="Times New Roman" w:hAnsi="Times New Roman"/>
          <w:b/>
          <w:sz w:val="20"/>
          <w:szCs w:val="20"/>
        </w:rPr>
        <w:t>7.1.</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В случае нарушения региональным оператором обязательств по настоящему Контракту Потребитель с участием представителя Регионального оператора составляет акт о нарушении Региональным оператором обязательств по Контракту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pPr>
        <w:pStyle w:val="18"/>
        <w:jc w:val="both"/>
        <w:rPr>
          <w:rFonts w:ascii="Times New Roman" w:hAnsi="Times New Roman"/>
          <w:sz w:val="20"/>
          <w:szCs w:val="20"/>
        </w:rPr>
      </w:pPr>
      <w:r>
        <w:rPr>
          <w:rFonts w:ascii="Times New Roman" w:hAnsi="Times New Roman"/>
          <w:b/>
          <w:sz w:val="20"/>
          <w:szCs w:val="20"/>
        </w:rPr>
        <w:t>7.2.</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pPr>
        <w:pStyle w:val="18"/>
        <w:jc w:val="both"/>
        <w:rPr>
          <w:rFonts w:ascii="Times New Roman" w:hAnsi="Times New Roman"/>
          <w:sz w:val="20"/>
          <w:szCs w:val="20"/>
        </w:rPr>
      </w:pPr>
      <w:r>
        <w:rPr>
          <w:rFonts w:ascii="Times New Roman" w:hAnsi="Times New Roman"/>
          <w:b/>
          <w:sz w:val="20"/>
          <w:szCs w:val="20"/>
        </w:rPr>
        <w:t>7.3.</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pPr>
        <w:pStyle w:val="18"/>
        <w:jc w:val="both"/>
        <w:rPr>
          <w:rFonts w:ascii="Times New Roman" w:hAnsi="Times New Roman"/>
          <w:sz w:val="20"/>
          <w:szCs w:val="20"/>
        </w:rPr>
      </w:pPr>
      <w:r>
        <w:rPr>
          <w:rFonts w:ascii="Times New Roman" w:hAnsi="Times New Roman"/>
          <w:b/>
          <w:sz w:val="20"/>
          <w:szCs w:val="20"/>
        </w:rPr>
        <w:t>7.4.</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pPr>
        <w:pStyle w:val="18"/>
        <w:jc w:val="both"/>
        <w:rPr>
          <w:rFonts w:ascii="Times New Roman" w:hAnsi="Times New Roman"/>
          <w:sz w:val="20"/>
          <w:szCs w:val="20"/>
        </w:rPr>
      </w:pPr>
      <w:r>
        <w:rPr>
          <w:rFonts w:ascii="Times New Roman" w:hAnsi="Times New Roman"/>
          <w:b/>
          <w:sz w:val="20"/>
          <w:szCs w:val="20"/>
        </w:rPr>
        <w:t>7.5.</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pPr>
        <w:pStyle w:val="18"/>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Акт должен содержать:</w:t>
      </w:r>
    </w:p>
    <w:p>
      <w:pPr>
        <w:pStyle w:val="18"/>
        <w:jc w:val="both"/>
        <w:rPr>
          <w:rFonts w:ascii="Times New Roman" w:hAnsi="Times New Roman"/>
          <w:sz w:val="20"/>
          <w:szCs w:val="20"/>
        </w:rPr>
      </w:pPr>
      <w:r>
        <w:rPr>
          <w:rFonts w:ascii="Times New Roman" w:hAnsi="Times New Roman"/>
          <w:sz w:val="20"/>
          <w:szCs w:val="20"/>
        </w:rPr>
        <w:t xml:space="preserve">а) </w:t>
      </w:r>
      <w:r>
        <w:rPr>
          <w:rFonts w:ascii="Times New Roman" w:hAnsi="Times New Roman"/>
          <w:sz w:val="20"/>
          <w:szCs w:val="20"/>
        </w:rPr>
        <w:tab/>
      </w:r>
      <w:r>
        <w:rPr>
          <w:rFonts w:ascii="Times New Roman" w:hAnsi="Times New Roman"/>
          <w:sz w:val="20"/>
          <w:szCs w:val="20"/>
        </w:rPr>
        <w:t>сведения о заявителе (наименование, местонахождение, адрес);</w:t>
      </w:r>
    </w:p>
    <w:p>
      <w:pPr>
        <w:pStyle w:val="18"/>
        <w:jc w:val="both"/>
        <w:rPr>
          <w:rFonts w:ascii="Times New Roman" w:hAnsi="Times New Roman"/>
          <w:sz w:val="20"/>
          <w:szCs w:val="20"/>
        </w:rPr>
      </w:pPr>
      <w:r>
        <w:rPr>
          <w:rFonts w:ascii="Times New Roman" w:hAnsi="Times New Roman"/>
          <w:sz w:val="20"/>
          <w:szCs w:val="20"/>
        </w:rPr>
        <w:t xml:space="preserve">б) </w:t>
      </w:r>
      <w:r>
        <w:rPr>
          <w:rFonts w:ascii="Times New Roman" w:hAnsi="Times New Roman"/>
          <w:sz w:val="20"/>
          <w:szCs w:val="20"/>
        </w:rPr>
        <w:tab/>
      </w:r>
      <w:r>
        <w:rPr>
          <w:rFonts w:ascii="Times New Roman" w:hAnsi="Times New Roman"/>
          <w:sz w:val="20"/>
          <w:szCs w:val="20"/>
        </w:rPr>
        <w:t>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pPr>
        <w:pStyle w:val="18"/>
        <w:jc w:val="both"/>
        <w:rPr>
          <w:rFonts w:ascii="Times New Roman" w:hAnsi="Times New Roman"/>
          <w:sz w:val="20"/>
          <w:szCs w:val="20"/>
        </w:rPr>
      </w:pPr>
      <w:r>
        <w:rPr>
          <w:rFonts w:ascii="Times New Roman" w:hAnsi="Times New Roman"/>
          <w:sz w:val="20"/>
          <w:szCs w:val="20"/>
        </w:rPr>
        <w:t xml:space="preserve">в) </w:t>
      </w:r>
      <w:r>
        <w:rPr>
          <w:rFonts w:ascii="Times New Roman" w:hAnsi="Times New Roman"/>
          <w:sz w:val="20"/>
          <w:szCs w:val="20"/>
        </w:rPr>
        <w:tab/>
      </w:r>
      <w:r>
        <w:rPr>
          <w:rFonts w:ascii="Times New Roman" w:hAnsi="Times New Roman"/>
          <w:sz w:val="20"/>
          <w:szCs w:val="20"/>
        </w:rPr>
        <w:t>сведения о нарушении соответствующих пунктов контракта;</w:t>
      </w:r>
    </w:p>
    <w:p>
      <w:pPr>
        <w:pStyle w:val="18"/>
        <w:jc w:val="both"/>
        <w:rPr>
          <w:rFonts w:ascii="Times New Roman" w:hAnsi="Times New Roman"/>
          <w:sz w:val="20"/>
          <w:szCs w:val="20"/>
        </w:rPr>
      </w:pPr>
      <w:r>
        <w:rPr>
          <w:rFonts w:ascii="Times New Roman" w:hAnsi="Times New Roman"/>
          <w:sz w:val="20"/>
          <w:szCs w:val="20"/>
        </w:rPr>
        <w:t xml:space="preserve">г) </w:t>
      </w:r>
      <w:r>
        <w:rPr>
          <w:rFonts w:ascii="Times New Roman" w:hAnsi="Times New Roman"/>
          <w:sz w:val="20"/>
          <w:szCs w:val="20"/>
        </w:rPr>
        <w:tab/>
      </w:r>
      <w:r>
        <w:rPr>
          <w:rFonts w:ascii="Times New Roman" w:hAnsi="Times New Roman"/>
          <w:sz w:val="20"/>
          <w:szCs w:val="20"/>
        </w:rPr>
        <w:t>другие сведения по усмотрению стороны, в том числе материалы фото- и видеосъемки.</w:t>
      </w:r>
    </w:p>
    <w:p>
      <w:pPr>
        <w:pStyle w:val="18"/>
        <w:jc w:val="both"/>
        <w:rPr>
          <w:rFonts w:ascii="Times New Roman" w:hAnsi="Times New Roman"/>
          <w:sz w:val="20"/>
          <w:szCs w:val="20"/>
        </w:rPr>
      </w:pPr>
      <w:r>
        <w:rPr>
          <w:rFonts w:ascii="Times New Roman" w:hAnsi="Times New Roman"/>
          <w:b/>
          <w:sz w:val="20"/>
          <w:szCs w:val="20"/>
        </w:rPr>
        <w:t>7.6.</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Нарушения оператора, осуществляющего деятельность по транспортированию ТКО подлежат фиксации в порядке, аналогичном порядку, предусмотренном п.п. 7.1. – 7.5. настоящего Контракта.</w:t>
      </w:r>
    </w:p>
    <w:p>
      <w:pPr>
        <w:pStyle w:val="18"/>
        <w:jc w:val="both"/>
        <w:rPr>
          <w:rFonts w:ascii="Times New Roman" w:hAnsi="Times New Roman"/>
          <w:sz w:val="20"/>
          <w:szCs w:val="20"/>
        </w:rPr>
      </w:pPr>
      <w:r>
        <w:rPr>
          <w:rFonts w:ascii="Times New Roman" w:hAnsi="Times New Roman"/>
          <w:b/>
          <w:sz w:val="20"/>
          <w:szCs w:val="20"/>
        </w:rPr>
        <w:t>7.7.</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Потребитель направляет копию акта о нарушении Региональным оператором обязательств по Контракту в уполномоченный орган исполнительной власти субъекта Российской Федерации.</w:t>
      </w:r>
    </w:p>
    <w:p>
      <w:pPr>
        <w:pStyle w:val="18"/>
        <w:jc w:val="both"/>
        <w:rPr>
          <w:rFonts w:ascii="Times New Roman" w:hAnsi="Times New Roman"/>
          <w:sz w:val="20"/>
          <w:szCs w:val="20"/>
        </w:rPr>
      </w:pPr>
      <w:r>
        <w:rPr>
          <w:rFonts w:ascii="Times New Roman" w:hAnsi="Times New Roman"/>
          <w:b/>
          <w:sz w:val="20"/>
          <w:szCs w:val="20"/>
        </w:rPr>
        <w:t xml:space="preserve"> </w:t>
      </w:r>
    </w:p>
    <w:p>
      <w:pPr>
        <w:pStyle w:val="18"/>
        <w:numPr>
          <w:ilvl w:val="0"/>
          <w:numId w:val="2"/>
        </w:numPr>
        <w:rPr>
          <w:rFonts w:ascii="Times New Roman" w:hAnsi="Times New Roman"/>
          <w:b/>
          <w:sz w:val="20"/>
          <w:szCs w:val="20"/>
        </w:rPr>
      </w:pPr>
      <w:r>
        <w:rPr>
          <w:rFonts w:ascii="Times New Roman" w:hAnsi="Times New Roman"/>
          <w:b/>
          <w:sz w:val="20"/>
          <w:szCs w:val="20"/>
        </w:rPr>
        <w:t>Ответственность сторон</w:t>
      </w:r>
    </w:p>
    <w:p>
      <w:pPr>
        <w:pStyle w:val="18"/>
        <w:jc w:val="both"/>
        <w:rPr>
          <w:rFonts w:ascii="Times New Roman" w:hAnsi="Times New Roman"/>
          <w:sz w:val="20"/>
          <w:szCs w:val="20"/>
        </w:rPr>
      </w:pPr>
      <w:r>
        <w:rPr>
          <w:rFonts w:ascii="Times New Roman" w:hAnsi="Times New Roman"/>
          <w:b/>
          <w:sz w:val="20"/>
          <w:szCs w:val="20"/>
        </w:rPr>
        <w:t>8.1.</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За неисполнение или ненадлежащее исполнение обязательств по настоящему Контракту стороны несут ответственность в соответствии с законодательством Российской Федерации.</w:t>
      </w:r>
    </w:p>
    <w:p>
      <w:pPr>
        <w:pStyle w:val="18"/>
        <w:jc w:val="both"/>
        <w:rPr>
          <w:rFonts w:ascii="Times New Roman" w:hAnsi="Times New Roman"/>
          <w:sz w:val="20"/>
          <w:szCs w:val="20"/>
        </w:rPr>
      </w:pPr>
      <w:r>
        <w:rPr>
          <w:rFonts w:ascii="Times New Roman" w:hAnsi="Times New Roman"/>
          <w:b/>
          <w:sz w:val="20"/>
          <w:szCs w:val="20"/>
        </w:rPr>
        <w:t xml:space="preserve">8.2. </w:t>
      </w:r>
      <w:r>
        <w:rPr>
          <w:rFonts w:ascii="Times New Roman" w:hAnsi="Times New Roman"/>
          <w:b/>
          <w:sz w:val="20"/>
          <w:szCs w:val="20"/>
        </w:rPr>
        <w:tab/>
      </w:r>
      <w:r>
        <w:rPr>
          <w:rFonts w:ascii="Times New Roman" w:hAnsi="Times New Roman"/>
          <w:sz w:val="20"/>
          <w:szCs w:val="20"/>
        </w:rPr>
        <w:t>В случае неисполнения либо ненадлежащего (просрочка) исполнения Потребителем обязательств по оплате настоящего Контракта Региональный оператор вправе потребовать от Потребителя уплаты неустойки которая начисляется за каждый день просрочки исполнения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w:t>
      </w:r>
    </w:p>
    <w:p>
      <w:pPr>
        <w:pStyle w:val="18"/>
        <w:jc w:val="both"/>
        <w:rPr>
          <w:rFonts w:ascii="Times New Roman" w:hAnsi="Times New Roman"/>
          <w:sz w:val="20"/>
          <w:szCs w:val="20"/>
        </w:rPr>
      </w:pPr>
      <w:r>
        <w:rPr>
          <w:rFonts w:ascii="Times New Roman" w:hAnsi="Times New Roman"/>
          <w:b/>
          <w:sz w:val="20"/>
          <w:szCs w:val="20"/>
        </w:rPr>
        <w:t>8.3.</w:t>
      </w:r>
      <w:r>
        <w:rPr>
          <w:rFonts w:ascii="Times New Roman" w:hAnsi="Times New Roman"/>
          <w:sz w:val="20"/>
          <w:szCs w:val="20"/>
        </w:rPr>
        <w:tab/>
      </w:r>
      <w:r>
        <w:rPr>
          <w:rFonts w:ascii="Times New Roman" w:hAnsi="Times New Roman"/>
          <w:sz w:val="20"/>
          <w:szCs w:val="20"/>
        </w:rPr>
        <w:t>За нарушение правил обращения с твердыми коммунальными отходами в части складирования ТКО, вне мест накопления отходов, определенных настоящим Контрактом, Потребитель несет административную ответственность в соответствии с законодательством Российской Федерации.</w:t>
      </w:r>
    </w:p>
    <w:p>
      <w:pPr>
        <w:pStyle w:val="18"/>
        <w:jc w:val="both"/>
        <w:rPr>
          <w:rFonts w:ascii="Times New Roman" w:hAnsi="Times New Roman"/>
          <w:sz w:val="20"/>
          <w:szCs w:val="20"/>
        </w:rPr>
      </w:pPr>
      <w:r>
        <w:rPr>
          <w:rFonts w:ascii="Times New Roman" w:hAnsi="Times New Roman"/>
          <w:b/>
          <w:sz w:val="20"/>
          <w:szCs w:val="20"/>
        </w:rPr>
        <w:t>8.4.</w:t>
      </w:r>
      <w:r>
        <w:rPr>
          <w:rFonts w:ascii="Times New Roman" w:hAnsi="Times New Roman"/>
          <w:sz w:val="20"/>
          <w:szCs w:val="20"/>
        </w:rPr>
        <w:tab/>
      </w:r>
      <w:r>
        <w:rPr>
          <w:rFonts w:ascii="Times New Roman" w:hAnsi="Times New Roman"/>
          <w:sz w:val="20"/>
          <w:szCs w:val="20"/>
        </w:rPr>
        <w:t>При неисполнении Потребителем условий, предусмотренных п. 3.5. и п. 5.3. настоящего Контракта, Региональный оператор оставляет за собой право приостановить исполнение своих обязанностей по настоящему Контракту до устранения нарушений со стороны Потребителя.</w:t>
      </w:r>
    </w:p>
    <w:p>
      <w:pPr>
        <w:pStyle w:val="18"/>
        <w:numPr>
          <w:ilvl w:val="1"/>
          <w:numId w:val="3"/>
        </w:numPr>
        <w:suppressAutoHyphens/>
        <w:jc w:val="both"/>
        <w:rPr>
          <w:rFonts w:ascii="Times New Roman" w:hAnsi="Times New Roman"/>
          <w:sz w:val="20"/>
          <w:szCs w:val="20"/>
        </w:rPr>
      </w:pPr>
      <w:r>
        <w:rPr>
          <w:rFonts w:ascii="Times New Roman" w:hAnsi="Times New Roman"/>
          <w:sz w:val="20"/>
          <w:szCs w:val="20"/>
        </w:rPr>
        <w:t>Региональный оператор освобождается от транспортирования ТКО, и не несет ответственности в следующих случаях:</w:t>
      </w:r>
    </w:p>
    <w:p>
      <w:pPr>
        <w:pStyle w:val="18"/>
        <w:ind w:left="360"/>
        <w:jc w:val="both"/>
        <w:rPr>
          <w:rFonts w:ascii="Times New Roman" w:hAnsi="Times New Roman"/>
          <w:sz w:val="20"/>
          <w:szCs w:val="20"/>
        </w:rPr>
      </w:pPr>
      <w:r>
        <w:rPr>
          <w:rFonts w:ascii="Times New Roman" w:hAnsi="Times New Roman"/>
          <w:sz w:val="20"/>
          <w:szCs w:val="20"/>
        </w:rPr>
        <w:t>• при отсутствии свободных подъездных путей к местам накопления ТКО;</w:t>
      </w:r>
    </w:p>
    <w:p>
      <w:pPr>
        <w:pStyle w:val="18"/>
        <w:ind w:left="360"/>
        <w:jc w:val="both"/>
        <w:rPr>
          <w:rFonts w:ascii="Times New Roman" w:hAnsi="Times New Roman"/>
          <w:sz w:val="20"/>
          <w:szCs w:val="20"/>
        </w:rPr>
      </w:pPr>
      <w:r>
        <w:rPr>
          <w:rFonts w:ascii="Times New Roman" w:hAnsi="Times New Roman"/>
          <w:sz w:val="20"/>
          <w:szCs w:val="20"/>
        </w:rPr>
        <w:t>• при снежных заносах, примерзании контейнерного бака или ТКО;</w:t>
      </w:r>
    </w:p>
    <w:p>
      <w:pPr>
        <w:pStyle w:val="18"/>
        <w:ind w:left="360"/>
        <w:jc w:val="both"/>
        <w:rPr>
          <w:rFonts w:ascii="Times New Roman" w:hAnsi="Times New Roman"/>
          <w:sz w:val="20"/>
          <w:szCs w:val="20"/>
        </w:rPr>
      </w:pPr>
      <w:r>
        <w:rPr>
          <w:rFonts w:ascii="Times New Roman" w:hAnsi="Times New Roman"/>
          <w:sz w:val="20"/>
          <w:szCs w:val="20"/>
        </w:rPr>
        <w:t xml:space="preserve">• </w:t>
      </w:r>
      <w:bookmarkStart w:id="3" w:name="_Hlk114130738"/>
      <w:r>
        <w:rPr>
          <w:rFonts w:ascii="Times New Roman" w:hAnsi="Times New Roman"/>
          <w:sz w:val="20"/>
          <w:szCs w:val="20"/>
        </w:rPr>
        <w:t>при отсутствии свободного доступа или проезда к оборудованным контейнерным площадкам,</w:t>
      </w:r>
      <w:r>
        <w:rPr>
          <w:rFonts w:ascii="Times New Roman" w:hAnsi="Times New Roman"/>
        </w:rPr>
        <w:t xml:space="preserve"> </w:t>
      </w:r>
      <w:r>
        <w:rPr>
          <w:rFonts w:ascii="Times New Roman" w:hAnsi="Times New Roman"/>
          <w:sz w:val="20"/>
          <w:szCs w:val="20"/>
        </w:rPr>
        <w:t>в том числе из-за парковки автомобилей, неочищенных от снега подъездных путей, провисания проводов и т.п</w:t>
      </w:r>
      <w:bookmarkEnd w:id="3"/>
      <w:r>
        <w:rPr>
          <w:rFonts w:ascii="Times New Roman" w:hAnsi="Times New Roman"/>
          <w:sz w:val="20"/>
          <w:szCs w:val="20"/>
        </w:rPr>
        <w:t>.;</w:t>
      </w:r>
    </w:p>
    <w:p>
      <w:pPr>
        <w:pStyle w:val="18"/>
        <w:ind w:left="360"/>
        <w:jc w:val="both"/>
        <w:rPr>
          <w:rFonts w:ascii="Times New Roman" w:hAnsi="Times New Roman"/>
          <w:sz w:val="20"/>
          <w:szCs w:val="20"/>
        </w:rPr>
      </w:pPr>
      <w:r>
        <w:rPr>
          <w:rFonts w:ascii="Times New Roman" w:hAnsi="Times New Roman"/>
          <w:sz w:val="20"/>
          <w:szCs w:val="20"/>
        </w:rPr>
        <w:t>• при складировании в контейнер для ТКО горевших, ядовитых, токсичных, строительных отходов;</w:t>
      </w:r>
    </w:p>
    <w:p>
      <w:pPr>
        <w:pStyle w:val="18"/>
        <w:jc w:val="both"/>
        <w:rPr>
          <w:rFonts w:ascii="Times New Roman" w:hAnsi="Times New Roman"/>
          <w:sz w:val="20"/>
          <w:szCs w:val="20"/>
        </w:rPr>
      </w:pPr>
      <w:r>
        <w:rPr>
          <w:rFonts w:ascii="Times New Roman" w:hAnsi="Times New Roman"/>
          <w:sz w:val="20"/>
          <w:szCs w:val="20"/>
        </w:rPr>
        <w:t>• при складировании в контейнер для ТКО смешанных с жидкими отходов, листьев и веток деревьев, смета. При этом Региональным оператором (представителем Регионального оператора) может быть составлен акт о невозможности исполнения обязательств.</w:t>
      </w:r>
    </w:p>
    <w:p>
      <w:pPr>
        <w:pStyle w:val="18"/>
        <w:suppressAutoHyphens/>
        <w:jc w:val="both"/>
        <w:rPr>
          <w:rFonts w:ascii="Times New Roman" w:hAnsi="Times New Roman"/>
          <w:sz w:val="20"/>
          <w:szCs w:val="20"/>
        </w:rPr>
      </w:pPr>
      <w:r>
        <w:rPr>
          <w:rFonts w:ascii="Times New Roman" w:hAnsi="Times New Roman"/>
          <w:b/>
          <w:sz w:val="20"/>
          <w:szCs w:val="20"/>
        </w:rPr>
        <w:t>8.6.</w:t>
      </w:r>
      <w:r>
        <w:rPr>
          <w:rFonts w:ascii="Times New Roman" w:hAnsi="Times New Roman"/>
          <w:sz w:val="20"/>
          <w:szCs w:val="20"/>
        </w:rPr>
        <w:t xml:space="preserve">   В случае технической неисправности контейнера(ов), а также несоответствия контейнера(ов) обязательным техническим требованиям и ГОСТам, Региональный оператор не несет ответственности за не вывоз отходов, находящихся в таком (их) контейнере(ах).</w:t>
      </w:r>
    </w:p>
    <w:p>
      <w:pPr>
        <w:pStyle w:val="18"/>
        <w:jc w:val="both"/>
        <w:rPr>
          <w:rFonts w:ascii="Times New Roman" w:hAnsi="Times New Roman"/>
          <w:sz w:val="20"/>
          <w:szCs w:val="20"/>
        </w:rPr>
      </w:pPr>
      <w:r>
        <w:rPr>
          <w:rFonts w:ascii="Times New Roman" w:hAnsi="Times New Roman"/>
          <w:b/>
          <w:sz w:val="20"/>
          <w:szCs w:val="20"/>
        </w:rPr>
        <w:t>8.7.</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В случае причинения вреда имуществу стороны настоящего Контракта либо 3-им лицам, такой вред подлежит возмещению по правилам, предусмотренным главой 59 Гражданского кодекса Российской Федерации, лицом, непосредственно его причинившим.</w:t>
      </w:r>
    </w:p>
    <w:p>
      <w:pPr>
        <w:pStyle w:val="18"/>
        <w:jc w:val="both"/>
        <w:rPr>
          <w:rFonts w:ascii="Times New Roman" w:hAnsi="Times New Roman"/>
          <w:sz w:val="20"/>
          <w:szCs w:val="20"/>
        </w:rPr>
      </w:pPr>
      <w:r>
        <w:rPr>
          <w:rFonts w:ascii="Times New Roman" w:hAnsi="Times New Roman"/>
          <w:b/>
          <w:sz w:val="20"/>
          <w:szCs w:val="20"/>
        </w:rPr>
        <w:t>8.8.</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Контрактом, Потребитель несет административную ответственность в соответствии с действующим законодательством.</w:t>
      </w:r>
    </w:p>
    <w:p>
      <w:pPr>
        <w:pStyle w:val="18"/>
        <w:jc w:val="both"/>
        <w:rPr>
          <w:rFonts w:ascii="Times New Roman" w:hAnsi="Times New Roman"/>
          <w:sz w:val="20"/>
          <w:szCs w:val="20"/>
        </w:rPr>
      </w:pPr>
      <w:r>
        <w:rPr>
          <w:rFonts w:ascii="Times New Roman" w:hAnsi="Times New Roman" w:eastAsiaTheme="minorHAnsi"/>
          <w:b/>
          <w:bCs/>
          <w:sz w:val="20"/>
          <w:szCs w:val="20"/>
          <w:lang w:eastAsia="zh-CN"/>
        </w:rPr>
        <w:t>8.9.</w:t>
      </w:r>
      <w:r>
        <w:rPr>
          <w:rFonts w:ascii="Times New Roman" w:hAnsi="Times New Roman" w:eastAsiaTheme="minorHAnsi"/>
          <w:sz w:val="20"/>
          <w:szCs w:val="20"/>
          <w:lang w:eastAsia="zh-CN"/>
        </w:rPr>
        <w:tab/>
      </w:r>
      <w:r>
        <w:rPr>
          <w:rFonts w:ascii="Times New Roman" w:hAnsi="Times New Roman"/>
          <w:sz w:val="20"/>
          <w:szCs w:val="20"/>
        </w:rPr>
        <w:t xml:space="preserve">В случае просрочки исполнения Региональным оператором обязательств предусмотренных контрактом, Потребитель вправе направить Региональным оператором требование об уплате неустоек Региональным оператором, </w:t>
      </w:r>
      <w:bookmarkStart w:id="4" w:name="_Hlk33022496"/>
      <w:r>
        <w:rPr>
          <w:rFonts w:ascii="Times New Roman" w:hAnsi="Times New Roman"/>
          <w:sz w:val="20"/>
          <w:szCs w:val="20"/>
        </w:rPr>
        <w:t>которая начисляется за каждый день просрочки исполнения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w:t>
      </w:r>
      <w:bookmarkEnd w:id="4"/>
    </w:p>
    <w:p>
      <w:pPr>
        <w:pStyle w:val="18"/>
        <w:jc w:val="both"/>
        <w:rPr>
          <w:rFonts w:ascii="Times New Roman" w:hAnsi="Times New Roman"/>
          <w:sz w:val="20"/>
          <w:szCs w:val="20"/>
        </w:rPr>
      </w:pPr>
      <w:r>
        <w:rPr>
          <w:rFonts w:ascii="Times New Roman" w:hAnsi="Times New Roman"/>
          <w:b/>
          <w:bCs/>
          <w:sz w:val="20"/>
          <w:szCs w:val="20"/>
        </w:rPr>
        <w:t>8.10</w:t>
      </w:r>
      <w:r>
        <w:rPr>
          <w:rFonts w:ascii="Times New Roman" w:hAnsi="Times New Roman" w:eastAsiaTheme="minorHAnsi"/>
          <w:b/>
          <w:bCs/>
          <w:sz w:val="20"/>
          <w:szCs w:val="20"/>
          <w:lang w:eastAsia="zh-CN"/>
        </w:rPr>
        <w:t>.</w:t>
      </w:r>
      <w:r>
        <w:rPr>
          <w:rFonts w:ascii="Times New Roman" w:hAnsi="Times New Roman" w:eastAsiaTheme="minorHAnsi"/>
          <w:sz w:val="20"/>
          <w:szCs w:val="20"/>
          <w:lang w:eastAsia="zh-CN"/>
        </w:rPr>
        <w:tab/>
      </w:r>
      <w:r>
        <w:rPr>
          <w:rFonts w:ascii="Times New Roman" w:hAnsi="Times New Roman" w:eastAsiaTheme="minorHAnsi"/>
          <w:sz w:val="20"/>
          <w:szCs w:val="20"/>
          <w:lang w:eastAsia="zh-CN"/>
        </w:rPr>
        <w:t xml:space="preserve">За факт неисполнения или ненадлежащего исполнения </w:t>
      </w:r>
      <w:r>
        <w:rPr>
          <w:rFonts w:ascii="Times New Roman" w:hAnsi="Times New Roman"/>
          <w:sz w:val="20"/>
          <w:szCs w:val="20"/>
        </w:rPr>
        <w:t xml:space="preserve">Региональным оператором </w:t>
      </w:r>
      <w:r>
        <w:rPr>
          <w:rFonts w:ascii="Times New Roman" w:hAnsi="Times New Roman" w:eastAsiaTheme="minorHAnsi"/>
          <w:sz w:val="20"/>
          <w:szCs w:val="20"/>
          <w:lang w:eastAsia="zh-CN"/>
        </w:rPr>
        <w:t>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pPr>
        <w:pStyle w:val="18"/>
        <w:jc w:val="both"/>
        <w:rPr>
          <w:rFonts w:ascii="Times New Roman" w:hAnsi="Times New Roman"/>
          <w:sz w:val="20"/>
          <w:szCs w:val="20"/>
        </w:rPr>
      </w:pPr>
      <w:r>
        <w:rPr>
          <w:rFonts w:ascii="Times New Roman" w:hAnsi="Times New Roman" w:eastAsiaTheme="minorHAnsi"/>
          <w:sz w:val="20"/>
          <w:szCs w:val="20"/>
          <w:lang w:eastAsia="zh-CN"/>
        </w:rPr>
        <w:t>а) 1000 рублей, если цена контракта не превышает 3 млн. рублей;</w:t>
      </w:r>
    </w:p>
    <w:p>
      <w:pPr>
        <w:pStyle w:val="18"/>
        <w:jc w:val="both"/>
        <w:rPr>
          <w:rFonts w:ascii="Times New Roman" w:hAnsi="Times New Roman"/>
          <w:sz w:val="20"/>
          <w:szCs w:val="20"/>
        </w:rPr>
      </w:pPr>
      <w:r>
        <w:rPr>
          <w:rFonts w:ascii="Times New Roman" w:hAnsi="Times New Roman" w:eastAsiaTheme="minorHAnsi"/>
          <w:sz w:val="20"/>
          <w:szCs w:val="20"/>
          <w:lang w:eastAsia="zh-CN"/>
        </w:rPr>
        <w:t>б) 5000 рублей, если цена контракта составляет от 3 млн. рублей до 50 млн. рублей (включительно);</w:t>
      </w:r>
    </w:p>
    <w:p>
      <w:pPr>
        <w:pStyle w:val="18"/>
        <w:jc w:val="both"/>
        <w:rPr>
          <w:rFonts w:ascii="Times New Roman" w:hAnsi="Times New Roman"/>
          <w:sz w:val="20"/>
          <w:szCs w:val="20"/>
        </w:rPr>
      </w:pPr>
      <w:r>
        <w:rPr>
          <w:rFonts w:ascii="Times New Roman" w:hAnsi="Times New Roman" w:eastAsiaTheme="minorHAnsi"/>
          <w:sz w:val="20"/>
          <w:szCs w:val="20"/>
          <w:lang w:eastAsia="zh-CN"/>
        </w:rPr>
        <w:t>в) 10000 рублей, если цена контракта составляет от 50 млн. рублей до 100 млн. рублей (включительно);</w:t>
      </w:r>
    </w:p>
    <w:p>
      <w:pPr>
        <w:pStyle w:val="18"/>
        <w:jc w:val="both"/>
        <w:rPr>
          <w:rFonts w:ascii="Times New Roman" w:hAnsi="Times New Roman"/>
          <w:sz w:val="20"/>
          <w:szCs w:val="20"/>
        </w:rPr>
      </w:pPr>
      <w:r>
        <w:rPr>
          <w:rFonts w:ascii="Times New Roman" w:hAnsi="Times New Roman" w:eastAsiaTheme="minorHAnsi"/>
          <w:sz w:val="20"/>
          <w:szCs w:val="20"/>
          <w:lang w:eastAsia="zh-CN"/>
        </w:rPr>
        <w:t>г) 100000 рублей, если цена контракта превышает 100 млн. рублей.</w:t>
      </w:r>
    </w:p>
    <w:p>
      <w:pPr>
        <w:pStyle w:val="18"/>
        <w:jc w:val="both"/>
        <w:rPr>
          <w:rFonts w:ascii="Times New Roman" w:hAnsi="Times New Roman"/>
          <w:sz w:val="20"/>
          <w:szCs w:val="20"/>
        </w:rPr>
      </w:pPr>
      <w:r>
        <w:rPr>
          <w:rFonts w:ascii="Times New Roman" w:hAnsi="Times New Roman"/>
          <w:b/>
          <w:bCs/>
          <w:sz w:val="20"/>
          <w:szCs w:val="20"/>
        </w:rPr>
        <w:t>8.11.</w:t>
      </w:r>
      <w:r>
        <w:rPr>
          <w:rFonts w:ascii="Times New Roman" w:hAnsi="Times New Roman"/>
          <w:sz w:val="20"/>
          <w:szCs w:val="20"/>
        </w:rPr>
        <w:tab/>
      </w:r>
      <w:r>
        <w:rPr>
          <w:rFonts w:ascii="Times New Roman" w:hAnsi="Times New Roman" w:eastAsiaTheme="minorHAnsi"/>
          <w:sz w:val="20"/>
          <w:szCs w:val="20"/>
          <w:lang w:eastAsia="zh-CN"/>
        </w:rPr>
        <w:t xml:space="preserve">За каждый факт неисполнения </w:t>
      </w:r>
      <w:r>
        <w:rPr>
          <w:rFonts w:ascii="Times New Roman" w:hAnsi="Times New Roman"/>
          <w:sz w:val="20"/>
          <w:szCs w:val="20"/>
        </w:rPr>
        <w:t>Потребителем</w:t>
      </w:r>
      <w:r>
        <w:rPr>
          <w:rFonts w:ascii="Times New Roman" w:hAnsi="Times New Roman" w:eastAsiaTheme="minorHAnsi"/>
          <w:sz w:val="20"/>
          <w:szCs w:val="20"/>
          <w:lang w:eastAsia="zh-CN"/>
        </w:rPr>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w:t>
      </w:r>
    </w:p>
    <w:p>
      <w:pPr>
        <w:pStyle w:val="18"/>
        <w:jc w:val="both"/>
        <w:rPr>
          <w:rFonts w:ascii="Times New Roman" w:hAnsi="Times New Roman"/>
          <w:sz w:val="20"/>
          <w:szCs w:val="20"/>
        </w:rPr>
      </w:pPr>
      <w:r>
        <w:rPr>
          <w:rFonts w:ascii="Times New Roman" w:hAnsi="Times New Roman" w:eastAsiaTheme="minorHAnsi"/>
          <w:sz w:val="20"/>
          <w:szCs w:val="20"/>
          <w:lang w:eastAsia="zh-CN"/>
        </w:rPr>
        <w:t>а) 1000 рублей, если цена контракта не превышает 3 млн. рублей (включительно);</w:t>
      </w:r>
    </w:p>
    <w:p>
      <w:pPr>
        <w:pStyle w:val="18"/>
        <w:jc w:val="both"/>
        <w:rPr>
          <w:rFonts w:ascii="Times New Roman" w:hAnsi="Times New Roman"/>
          <w:sz w:val="20"/>
          <w:szCs w:val="20"/>
        </w:rPr>
      </w:pPr>
      <w:r>
        <w:rPr>
          <w:rFonts w:ascii="Times New Roman" w:hAnsi="Times New Roman" w:eastAsiaTheme="minorHAnsi"/>
          <w:sz w:val="20"/>
          <w:szCs w:val="20"/>
          <w:lang w:eastAsia="zh-CN"/>
        </w:rPr>
        <w:t>б) 5000 рублей, если цена контракта составляет от 3 млн. рублей до 50 млн. рублей (включительно);</w:t>
      </w:r>
    </w:p>
    <w:p>
      <w:pPr>
        <w:pStyle w:val="18"/>
        <w:jc w:val="both"/>
        <w:rPr>
          <w:rFonts w:ascii="Times New Roman" w:hAnsi="Times New Roman"/>
          <w:sz w:val="20"/>
          <w:szCs w:val="20"/>
        </w:rPr>
      </w:pPr>
      <w:r>
        <w:rPr>
          <w:rFonts w:ascii="Times New Roman" w:hAnsi="Times New Roman" w:eastAsiaTheme="minorHAnsi"/>
          <w:sz w:val="20"/>
          <w:szCs w:val="20"/>
          <w:lang w:eastAsia="zh-CN"/>
        </w:rPr>
        <w:t>в) 10000 рублей, если цена контракта составляет от 50 млн. рублей до 100 млн. рублей (включительно);</w:t>
      </w:r>
    </w:p>
    <w:p>
      <w:pPr>
        <w:pStyle w:val="18"/>
        <w:jc w:val="both"/>
        <w:rPr>
          <w:rFonts w:ascii="Times New Roman" w:hAnsi="Times New Roman" w:eastAsiaTheme="minorHAnsi"/>
          <w:sz w:val="20"/>
          <w:szCs w:val="20"/>
          <w:lang w:eastAsia="zh-CN"/>
        </w:rPr>
      </w:pPr>
      <w:r>
        <w:rPr>
          <w:rFonts w:ascii="Times New Roman" w:hAnsi="Times New Roman" w:eastAsiaTheme="minorHAnsi"/>
          <w:sz w:val="20"/>
          <w:szCs w:val="20"/>
          <w:lang w:eastAsia="zh-CN"/>
        </w:rPr>
        <w:t>г) 100000 рублей, если цена контракта превышает 100 млн. рублей.</w:t>
      </w:r>
    </w:p>
    <w:p>
      <w:pPr>
        <w:pStyle w:val="18"/>
        <w:jc w:val="both"/>
        <w:rPr>
          <w:rFonts w:ascii="Times New Roman" w:hAnsi="Times New Roman"/>
          <w:sz w:val="20"/>
          <w:szCs w:val="20"/>
        </w:rPr>
      </w:pPr>
      <w:r>
        <w:rPr>
          <w:rFonts w:ascii="Times New Roman" w:hAnsi="Times New Roman"/>
          <w:b/>
          <w:sz w:val="20"/>
          <w:szCs w:val="20"/>
        </w:rPr>
        <w:t>8.12</w:t>
      </w: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Общая сумма начисленной неустойки (штрафов, пени) за ненадлежащее исполнение Потребителем обязательств, предусмотренных Контрактом, не может превышать цену контракта.</w:t>
      </w:r>
      <w:r>
        <w:rPr>
          <w:rFonts w:ascii="Times New Roman" w:hAnsi="Times New Roman"/>
          <w:b/>
          <w:sz w:val="20"/>
          <w:szCs w:val="20"/>
        </w:rPr>
        <w:t xml:space="preserve"> </w:t>
      </w:r>
    </w:p>
    <w:p>
      <w:pPr>
        <w:pStyle w:val="18"/>
        <w:jc w:val="both"/>
        <w:rPr>
          <w:rFonts w:ascii="Times New Roman" w:hAnsi="Times New Roman"/>
          <w:sz w:val="20"/>
          <w:szCs w:val="20"/>
        </w:rPr>
      </w:pPr>
      <w:r>
        <w:rPr>
          <w:rFonts w:ascii="Times New Roman" w:hAnsi="Times New Roman"/>
          <w:b/>
          <w:sz w:val="20"/>
          <w:szCs w:val="20"/>
        </w:rPr>
        <w:t>8.13.</w:t>
      </w:r>
      <w:r>
        <w:rPr>
          <w:rFonts w:ascii="Times New Roman" w:hAnsi="Times New Roman"/>
          <w:sz w:val="20"/>
          <w:szCs w:val="20"/>
        </w:rPr>
        <w:tab/>
      </w:r>
      <w:r>
        <w:rPr>
          <w:rFonts w:ascii="Times New Roman" w:hAnsi="Times New Roman"/>
          <w:sz w:val="20"/>
          <w:szCs w:val="20"/>
        </w:rPr>
        <w:t>Общая сумма начисленной неустойки (штрафов, пени) за неисполнение или ненадлежащее исполнение Региональным оператором обязательств, предусмотренных Контрактом, не может превышать цену Контракта.</w:t>
      </w:r>
    </w:p>
    <w:p>
      <w:pPr>
        <w:pStyle w:val="18"/>
        <w:jc w:val="both"/>
        <w:rPr>
          <w:rFonts w:ascii="Times New Roman" w:hAnsi="Times New Roman"/>
          <w:sz w:val="20"/>
          <w:szCs w:val="20"/>
          <w:lang w:eastAsia="zh-CN"/>
        </w:rPr>
      </w:pPr>
      <w:r>
        <w:rPr>
          <w:rFonts w:ascii="Times New Roman" w:hAnsi="Times New Roman"/>
          <w:b/>
          <w:bCs/>
          <w:sz w:val="20"/>
          <w:szCs w:val="20"/>
          <w:lang w:eastAsia="zh-CN"/>
        </w:rPr>
        <w:t>8.14.</w:t>
      </w:r>
      <w:r>
        <w:rPr>
          <w:rFonts w:ascii="Times New Roman" w:hAnsi="Times New Roman"/>
          <w:sz w:val="20"/>
          <w:szCs w:val="20"/>
          <w:lang w:eastAsia="zh-CN"/>
        </w:rPr>
        <w:tab/>
      </w:r>
      <w:r>
        <w:rPr>
          <w:rFonts w:ascii="Times New Roman" w:hAnsi="Times New Roman"/>
          <w:sz w:val="20"/>
          <w:szCs w:val="20"/>
          <w:lang w:eastAsia="zh-CN"/>
        </w:rPr>
        <w:t>Перед заключением настоящего Контракта Региональным оператором Потребителю предложен график транспортирования ТКО с места (мест) временного накопления несортированных ТКО исходя из среднесуточной температуры наружного воздуха в течение 3-х суток:</w:t>
      </w:r>
    </w:p>
    <w:p>
      <w:pPr>
        <w:pStyle w:val="18"/>
        <w:jc w:val="both"/>
        <w:rPr>
          <w:rFonts w:ascii="Times New Roman" w:hAnsi="Times New Roman"/>
          <w:sz w:val="20"/>
          <w:szCs w:val="20"/>
          <w:lang w:eastAsia="zh-CN"/>
        </w:rPr>
      </w:pPr>
      <w:r>
        <w:rPr>
          <w:rFonts w:ascii="Times New Roman" w:hAnsi="Times New Roman"/>
          <w:sz w:val="20"/>
          <w:szCs w:val="20"/>
          <w:lang w:eastAsia="zh-CN"/>
        </w:rPr>
        <w:t>- плюс 5°С и выше - не более 1 суток;</w:t>
      </w:r>
    </w:p>
    <w:p>
      <w:pPr>
        <w:pStyle w:val="18"/>
        <w:jc w:val="both"/>
        <w:rPr>
          <w:rFonts w:ascii="Times New Roman" w:hAnsi="Times New Roman"/>
          <w:sz w:val="20"/>
          <w:szCs w:val="20"/>
        </w:rPr>
      </w:pPr>
      <w:r>
        <w:rPr>
          <w:rFonts w:ascii="Times New Roman" w:hAnsi="Times New Roman"/>
          <w:sz w:val="20"/>
          <w:szCs w:val="20"/>
          <w:lang w:eastAsia="zh-CN"/>
        </w:rPr>
        <w:t>- плюс 4°С и ниже - не более 3 суток.</w:t>
      </w:r>
    </w:p>
    <w:p>
      <w:pPr>
        <w:pStyle w:val="18"/>
        <w:jc w:val="both"/>
        <w:rPr>
          <w:rFonts w:ascii="Times New Roman" w:hAnsi="Times New Roman"/>
          <w:sz w:val="20"/>
          <w:szCs w:val="20"/>
        </w:rPr>
      </w:pPr>
      <w:r>
        <w:rPr>
          <w:rFonts w:ascii="Times New Roman" w:hAnsi="Times New Roman"/>
          <w:sz w:val="20"/>
          <w:szCs w:val="20"/>
          <w:lang w:eastAsia="zh-CN"/>
        </w:rPr>
        <w:t>Об ответственности за несоблюдение санитарно-эпидемиологических требований при обращении с отходами Потребитель Региональным оператором предупрежден.</w:t>
      </w:r>
    </w:p>
    <w:p>
      <w:pPr>
        <w:pStyle w:val="18"/>
        <w:jc w:val="both"/>
        <w:rPr>
          <w:rFonts w:ascii="Times New Roman" w:hAnsi="Times New Roman"/>
          <w:sz w:val="20"/>
          <w:szCs w:val="20"/>
        </w:rPr>
      </w:pPr>
      <w:r>
        <w:rPr>
          <w:rFonts w:ascii="Times New Roman" w:hAnsi="Times New Roman"/>
          <w:sz w:val="20"/>
          <w:szCs w:val="20"/>
          <w:lang w:eastAsia="zh-CN"/>
        </w:rPr>
        <w:t>Поскольку Потребителем в Приложении № 1 к настоящему Контракту самостоятельно, на свой риск и под свою ответственность, определен индивидуальный график транспортирования ТКО с места (мест) временного накопления ТКО, за несоблюдение требований санитарного законодательства, в том числе нарушений в части установленной кратности вывоза ТКО всю ответственность по ст. 6.35. КоАП РФ «Несоблюдение санитарно-эпидемиологических требований при обращении с отходами» несет Потребитель.</w:t>
      </w:r>
    </w:p>
    <w:p>
      <w:pPr>
        <w:pStyle w:val="18"/>
        <w:jc w:val="both"/>
        <w:rPr>
          <w:rFonts w:ascii="Times New Roman" w:hAnsi="Times New Roman"/>
          <w:lang w:eastAsia="zh-CN"/>
        </w:rPr>
      </w:pPr>
      <w:r>
        <w:rPr>
          <w:rFonts w:ascii="Times New Roman" w:hAnsi="Times New Roman"/>
          <w:b/>
          <w:bCs/>
          <w:sz w:val="20"/>
          <w:szCs w:val="20"/>
          <w:lang w:eastAsia="zh-CN"/>
        </w:rPr>
        <w:t xml:space="preserve">8.15. </w:t>
      </w:r>
      <w:r>
        <w:rPr>
          <w:rFonts w:ascii="Times New Roman" w:hAnsi="Times New Roman"/>
          <w:sz w:val="20"/>
          <w:szCs w:val="20"/>
          <w:lang w:eastAsia="zh-CN"/>
        </w:rPr>
        <w:t xml:space="preserve">Потребитель в соответствии со ст. 406.1 ГК РФ, возмещает Региональному оператору все имущественные потери последнего, возникшие в связи с предъявлением государственными органами требований об уплате штрафа за несоблюдение требований санитарного законодательства, в части установленной кратности вывоза ТКО Контрактом, по ст. 6.35. КоАП РФ «Несоблюдение санитарно-эпидемиологических требований при обращении с отходами». </w:t>
      </w:r>
    </w:p>
    <w:p>
      <w:pPr>
        <w:pStyle w:val="18"/>
        <w:jc w:val="both"/>
        <w:rPr>
          <w:rFonts w:ascii="Times New Roman" w:hAnsi="Times New Roman"/>
          <w:sz w:val="20"/>
          <w:szCs w:val="20"/>
        </w:rPr>
      </w:pPr>
    </w:p>
    <w:p>
      <w:pPr>
        <w:pStyle w:val="18"/>
        <w:numPr>
          <w:ilvl w:val="0"/>
          <w:numId w:val="3"/>
        </w:numPr>
        <w:jc w:val="center"/>
        <w:rPr>
          <w:rFonts w:ascii="Times New Roman" w:hAnsi="Times New Roman"/>
          <w:b/>
          <w:sz w:val="20"/>
          <w:szCs w:val="20"/>
        </w:rPr>
      </w:pPr>
      <w:r>
        <w:rPr>
          <w:rFonts w:ascii="Times New Roman" w:hAnsi="Times New Roman"/>
          <w:b/>
          <w:sz w:val="20"/>
          <w:szCs w:val="20"/>
        </w:rPr>
        <w:t>Обстоятельства непреодолимой силы</w:t>
      </w:r>
    </w:p>
    <w:p>
      <w:pPr>
        <w:pStyle w:val="18"/>
        <w:jc w:val="both"/>
        <w:rPr>
          <w:rFonts w:ascii="Times New Roman" w:hAnsi="Times New Roman"/>
          <w:sz w:val="20"/>
          <w:szCs w:val="20"/>
        </w:rPr>
      </w:pPr>
      <w:r>
        <w:rPr>
          <w:rFonts w:ascii="Times New Roman" w:hAnsi="Times New Roman"/>
          <w:b/>
          <w:sz w:val="20"/>
          <w:szCs w:val="20"/>
        </w:rPr>
        <w:t>9.1.</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Стороны освобождаются от ответственности за неисполнение либо ненадлежащее исполнение обязательств по настоящему Контракту, если оно явилось следствием обстоятельств непреодолимой силы.</w:t>
      </w:r>
    </w:p>
    <w:p>
      <w:pPr>
        <w:pStyle w:val="18"/>
        <w:jc w:val="both"/>
        <w:rPr>
          <w:rFonts w:ascii="Times New Roman" w:hAnsi="Times New Roman"/>
          <w:sz w:val="20"/>
          <w:szCs w:val="20"/>
        </w:rPr>
      </w:pPr>
      <w:r>
        <w:rPr>
          <w:rFonts w:ascii="Times New Roman" w:hAnsi="Times New Roman"/>
          <w:b/>
          <w:sz w:val="20"/>
          <w:szCs w:val="20"/>
        </w:rPr>
        <w:t>9.2.</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При этом срок исполнения обязательств по настоящему Контракту продлевается соразмерно времени, в течение которого действовали такие обстоятельства, а также последствиям, вызванным этими обстоятельствами.</w:t>
      </w:r>
    </w:p>
    <w:p>
      <w:pPr>
        <w:pStyle w:val="18"/>
        <w:jc w:val="both"/>
        <w:rPr>
          <w:rFonts w:ascii="Times New Roman" w:hAnsi="Times New Roman"/>
          <w:sz w:val="20"/>
          <w:szCs w:val="20"/>
        </w:rPr>
      </w:pPr>
      <w:r>
        <w:rPr>
          <w:rFonts w:ascii="Times New Roman" w:hAnsi="Times New Roman"/>
          <w:b/>
          <w:sz w:val="20"/>
          <w:szCs w:val="20"/>
        </w:rPr>
        <w:t>9.3.</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w:t>
      </w:r>
    </w:p>
    <w:p>
      <w:pPr>
        <w:pStyle w:val="18"/>
        <w:jc w:val="both"/>
        <w:rPr>
          <w:rFonts w:ascii="Times New Roman" w:hAnsi="Times New Roman"/>
          <w:sz w:val="20"/>
          <w:szCs w:val="20"/>
        </w:rPr>
      </w:pPr>
      <w:r>
        <w:rPr>
          <w:rFonts w:ascii="Times New Roman" w:hAnsi="Times New Roman"/>
          <w:b/>
          <w:sz w:val="20"/>
          <w:szCs w:val="20"/>
        </w:rPr>
        <w:t>9.4.</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pPr>
        <w:pStyle w:val="18"/>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pPr>
        <w:pStyle w:val="18"/>
        <w:jc w:val="both"/>
        <w:rPr>
          <w:rFonts w:ascii="Times New Roman" w:hAnsi="Times New Roman"/>
          <w:sz w:val="20"/>
          <w:szCs w:val="20"/>
        </w:rPr>
      </w:pPr>
    </w:p>
    <w:p>
      <w:pPr>
        <w:pStyle w:val="18"/>
        <w:numPr>
          <w:ilvl w:val="0"/>
          <w:numId w:val="3"/>
        </w:numPr>
        <w:jc w:val="center"/>
        <w:rPr>
          <w:rFonts w:ascii="Times New Roman" w:hAnsi="Times New Roman"/>
          <w:b/>
          <w:sz w:val="20"/>
          <w:szCs w:val="20"/>
        </w:rPr>
      </w:pPr>
      <w:r>
        <w:rPr>
          <w:rFonts w:ascii="Times New Roman" w:hAnsi="Times New Roman"/>
          <w:b/>
          <w:sz w:val="20"/>
          <w:szCs w:val="20"/>
        </w:rPr>
        <w:t>Срок действия Контракта. Порядок изменение расторжения Контракта</w:t>
      </w:r>
    </w:p>
    <w:p>
      <w:pPr>
        <w:jc w:val="both"/>
        <w:rPr>
          <w:rFonts w:eastAsia="Calibri" w:cs="Times New Roman"/>
          <w:kern w:val="0"/>
          <w:sz w:val="20"/>
          <w:szCs w:val="20"/>
          <w:lang w:eastAsia="en-US" w:bidi="ar-SA"/>
        </w:rPr>
      </w:pPr>
      <w:r>
        <w:rPr>
          <w:rFonts w:cs="Times New Roman"/>
          <w:b/>
          <w:sz w:val="20"/>
          <w:szCs w:val="20"/>
        </w:rPr>
        <w:t>10.1.</w:t>
      </w:r>
      <w:r>
        <w:rPr>
          <w:rFonts w:cs="Times New Roman"/>
          <w:sz w:val="20"/>
          <w:szCs w:val="20"/>
        </w:rPr>
        <w:t xml:space="preserve">  </w:t>
      </w:r>
      <w:r>
        <w:rPr>
          <w:rFonts w:cs="Times New Roman"/>
          <w:sz w:val="20"/>
          <w:szCs w:val="20"/>
        </w:rPr>
        <w:tab/>
      </w:r>
      <w:r>
        <w:rPr>
          <w:rFonts w:eastAsia="Calibri" w:cs="Times New Roman"/>
          <w:kern w:val="0"/>
          <w:sz w:val="20"/>
          <w:szCs w:val="20"/>
          <w:lang w:eastAsia="en-US" w:bidi="ar-SA"/>
        </w:rPr>
        <w:t>Настоящий Контракт  считается заключенным Сторонами с даты его подписания, указанной Региональным оператором в правом верхнем углу на первой странице контракта, распространяет действие на отношения сторон, возникшие с «____» __________ 202___ года и действует по «____» _________20____ года.</w:t>
      </w:r>
    </w:p>
    <w:p>
      <w:pPr>
        <w:pStyle w:val="18"/>
        <w:jc w:val="both"/>
        <w:rPr>
          <w:rFonts w:ascii="Times New Roman" w:hAnsi="Times New Roman"/>
          <w:sz w:val="20"/>
          <w:szCs w:val="20"/>
        </w:rPr>
      </w:pPr>
      <w:r>
        <w:rPr>
          <w:rFonts w:ascii="Times New Roman" w:hAnsi="Times New Roman"/>
          <w:b/>
          <w:sz w:val="20"/>
          <w:szCs w:val="20"/>
        </w:rPr>
        <w:t>10.2.</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Изменения существенных условий Контракта возможно по соглашению сторон в случаях, указанных в ст. 95 Федерального закона от 05 апреля 2013 № 44-ФЗ «О контрактной системе в сфере закупок товаров, работ, услуг для обеспечения государственных и муниципальных нужд».</w:t>
      </w:r>
    </w:p>
    <w:p>
      <w:pPr>
        <w:pStyle w:val="18"/>
        <w:jc w:val="both"/>
        <w:rPr>
          <w:rFonts w:ascii="Times New Roman" w:hAnsi="Times New Roman"/>
          <w:sz w:val="20"/>
          <w:szCs w:val="20"/>
        </w:rPr>
      </w:pPr>
      <w:r>
        <w:rPr>
          <w:rFonts w:ascii="Times New Roman" w:hAnsi="Times New Roman"/>
          <w:b/>
          <w:sz w:val="20"/>
          <w:szCs w:val="20"/>
        </w:rPr>
        <w:t>10.3.</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При исполнении Контракта по согласованию Потребителя с Региональным оператором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pPr>
        <w:pStyle w:val="18"/>
        <w:jc w:val="both"/>
        <w:rPr>
          <w:rFonts w:ascii="Times New Roman" w:hAnsi="Times New Roman"/>
          <w:sz w:val="20"/>
          <w:szCs w:val="20"/>
        </w:rPr>
      </w:pPr>
      <w:r>
        <w:rPr>
          <w:rFonts w:ascii="Times New Roman" w:hAnsi="Times New Roman"/>
          <w:b/>
          <w:sz w:val="20"/>
          <w:szCs w:val="20"/>
        </w:rPr>
        <w:t>10.4.</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pStyle w:val="18"/>
        <w:jc w:val="both"/>
        <w:rPr>
          <w:rFonts w:ascii="Times New Roman" w:hAnsi="Times New Roman"/>
          <w:sz w:val="20"/>
          <w:szCs w:val="20"/>
        </w:rPr>
      </w:pPr>
      <w:r>
        <w:rPr>
          <w:rFonts w:ascii="Times New Roman" w:hAnsi="Times New Roman"/>
          <w:b/>
          <w:sz w:val="20"/>
          <w:szCs w:val="20"/>
        </w:rPr>
        <w:t>10.5.</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Потребитель вправе принять решение об одностороннем отказе от исполнения Контракта в соответствии с гражданским законодательством.</w:t>
      </w:r>
    </w:p>
    <w:p>
      <w:pPr>
        <w:pStyle w:val="18"/>
        <w:jc w:val="both"/>
        <w:rPr>
          <w:rFonts w:ascii="Times New Roman" w:hAnsi="Times New Roman"/>
          <w:sz w:val="20"/>
          <w:szCs w:val="20"/>
        </w:rPr>
      </w:pPr>
      <w:r>
        <w:rPr>
          <w:rFonts w:ascii="Times New Roman" w:hAnsi="Times New Roman"/>
          <w:b/>
          <w:sz w:val="20"/>
          <w:szCs w:val="20"/>
        </w:rPr>
        <w:t>10.6.</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pPr>
        <w:pStyle w:val="18"/>
        <w:jc w:val="both"/>
        <w:rPr>
          <w:rFonts w:ascii="Times New Roman" w:hAnsi="Times New Roman"/>
          <w:sz w:val="20"/>
          <w:szCs w:val="20"/>
        </w:rPr>
      </w:pPr>
    </w:p>
    <w:p>
      <w:pPr>
        <w:pStyle w:val="18"/>
        <w:numPr>
          <w:ilvl w:val="0"/>
          <w:numId w:val="3"/>
        </w:numPr>
        <w:jc w:val="center"/>
        <w:rPr>
          <w:rFonts w:ascii="Times New Roman" w:hAnsi="Times New Roman"/>
          <w:b/>
          <w:sz w:val="20"/>
          <w:szCs w:val="20"/>
        </w:rPr>
      </w:pPr>
      <w:r>
        <w:rPr>
          <w:rFonts w:ascii="Times New Roman" w:hAnsi="Times New Roman"/>
          <w:b/>
          <w:sz w:val="20"/>
          <w:szCs w:val="20"/>
        </w:rPr>
        <w:t>Порядок разрешения споров</w:t>
      </w:r>
    </w:p>
    <w:p>
      <w:pPr>
        <w:pStyle w:val="18"/>
        <w:jc w:val="both"/>
        <w:rPr>
          <w:rFonts w:ascii="Times New Roman" w:hAnsi="Times New Roman"/>
          <w:sz w:val="20"/>
          <w:szCs w:val="20"/>
        </w:rPr>
      </w:pPr>
      <w:r>
        <w:rPr>
          <w:rFonts w:ascii="Times New Roman" w:hAnsi="Times New Roman"/>
          <w:b/>
          <w:sz w:val="20"/>
          <w:szCs w:val="20"/>
        </w:rPr>
        <w:t>11.1.</w:t>
      </w:r>
      <w:r>
        <w:rPr>
          <w:rFonts w:ascii="Times New Roman" w:hAnsi="Times New Roman"/>
          <w:sz w:val="20"/>
          <w:szCs w:val="20"/>
        </w:rPr>
        <w:t xml:space="preserve">  Споры Сторон, возникшие в связи с исполнением настоящего Контракта, разрешаются путем переговоров.</w:t>
      </w:r>
    </w:p>
    <w:p>
      <w:pPr>
        <w:pStyle w:val="18"/>
        <w:jc w:val="both"/>
        <w:rPr>
          <w:rFonts w:ascii="Times New Roman" w:hAnsi="Times New Roman"/>
          <w:sz w:val="20"/>
          <w:szCs w:val="20"/>
        </w:rPr>
      </w:pPr>
      <w:r>
        <w:rPr>
          <w:rFonts w:ascii="Times New Roman" w:hAnsi="Times New Roman"/>
          <w:b/>
          <w:bCs/>
          <w:sz w:val="20"/>
          <w:szCs w:val="20"/>
        </w:rPr>
        <w:t xml:space="preserve">11.2.  </w:t>
      </w:r>
      <w:r>
        <w:rPr>
          <w:rFonts w:ascii="Times New Roman" w:hAnsi="Times New Roman"/>
          <w:sz w:val="20"/>
          <w:szCs w:val="20"/>
        </w:rPr>
        <w:t xml:space="preserve">Срок для ответа на претензию составляет 10 (десять) рабочих дней с даты ее получения Стороной. При отсутствии в установленный срок возражений Стороны, получившей претензию, против заявленных требований (в целом, в их части), соответствующие требования считаются признанными, а их обоснованность достоверной. </w:t>
      </w:r>
    </w:p>
    <w:p>
      <w:pPr>
        <w:pStyle w:val="18"/>
        <w:jc w:val="both"/>
        <w:rPr>
          <w:rFonts w:ascii="Times New Roman" w:hAnsi="Times New Roman"/>
          <w:sz w:val="20"/>
          <w:szCs w:val="20"/>
        </w:rPr>
      </w:pPr>
      <w:r>
        <w:rPr>
          <w:rFonts w:ascii="Times New Roman" w:hAnsi="Times New Roman"/>
          <w:b/>
          <w:bCs/>
          <w:sz w:val="20"/>
          <w:szCs w:val="20"/>
        </w:rPr>
        <w:t>11.3.</w:t>
      </w:r>
      <w:r>
        <w:rPr>
          <w:rFonts w:ascii="Times New Roman" w:hAnsi="Times New Roman"/>
          <w:sz w:val="20"/>
          <w:szCs w:val="20"/>
        </w:rPr>
        <w:t xml:space="preserve"> В случае неполучения претензии Стороной, в адрес которой направлена претензия, требования, указанные в претензии, считаются признанными, а их обоснованность достоверной.</w:t>
      </w:r>
    </w:p>
    <w:p>
      <w:pPr>
        <w:pStyle w:val="18"/>
        <w:jc w:val="both"/>
        <w:rPr>
          <w:rFonts w:ascii="Times New Roman" w:hAnsi="Times New Roman"/>
          <w:sz w:val="20"/>
          <w:szCs w:val="20"/>
        </w:rPr>
      </w:pPr>
      <w:r>
        <w:rPr>
          <w:rFonts w:ascii="Times New Roman" w:hAnsi="Times New Roman"/>
          <w:b/>
          <w:sz w:val="20"/>
          <w:szCs w:val="20"/>
        </w:rPr>
        <w:t>11.4.</w:t>
      </w:r>
      <w:r>
        <w:rPr>
          <w:rFonts w:ascii="Times New Roman" w:hAnsi="Times New Roman"/>
          <w:sz w:val="20"/>
          <w:szCs w:val="20"/>
        </w:rPr>
        <w:t xml:space="preserve">  Разногласия с Потребителем, не урегулированные путем переговоров, подлежат рассмотрению в Арбитражном суде Красноярского края</w:t>
      </w:r>
    </w:p>
    <w:p>
      <w:pPr>
        <w:pStyle w:val="18"/>
        <w:jc w:val="both"/>
        <w:rPr>
          <w:rFonts w:ascii="Times New Roman" w:hAnsi="Times New Roman"/>
          <w:sz w:val="20"/>
          <w:szCs w:val="20"/>
        </w:rPr>
      </w:pPr>
    </w:p>
    <w:p>
      <w:pPr>
        <w:pStyle w:val="18"/>
        <w:jc w:val="center"/>
        <w:rPr>
          <w:rFonts w:ascii="Times New Roman" w:hAnsi="Times New Roman"/>
          <w:b/>
          <w:sz w:val="20"/>
          <w:szCs w:val="20"/>
        </w:rPr>
      </w:pPr>
      <w:r>
        <w:rPr>
          <w:rFonts w:ascii="Times New Roman" w:hAnsi="Times New Roman"/>
          <w:b/>
          <w:sz w:val="20"/>
          <w:szCs w:val="20"/>
        </w:rPr>
        <w:t>12. Антикоррупционная оговорка</w:t>
      </w:r>
    </w:p>
    <w:p>
      <w:pPr>
        <w:pStyle w:val="18"/>
        <w:jc w:val="both"/>
        <w:rPr>
          <w:rFonts w:ascii="Times New Roman" w:hAnsi="Times New Roman"/>
          <w:sz w:val="20"/>
          <w:szCs w:val="20"/>
        </w:rPr>
      </w:pPr>
      <w:r>
        <w:rPr>
          <w:rFonts w:ascii="Times New Roman" w:hAnsi="Times New Roman"/>
          <w:b/>
          <w:sz w:val="20"/>
          <w:szCs w:val="20"/>
        </w:rPr>
        <w:t>12.1.</w:t>
      </w:r>
      <w:r>
        <w:rPr>
          <w:rFonts w:ascii="Times New Roman" w:hAnsi="Times New Roman"/>
          <w:sz w:val="20"/>
          <w:szCs w:val="20"/>
        </w:rPr>
        <w:tab/>
      </w:r>
      <w:r>
        <w:rPr>
          <w:rFonts w:ascii="Times New Roman" w:hAnsi="Times New Roman"/>
          <w:sz w:val="20"/>
          <w:szCs w:val="20"/>
        </w:rPr>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pPr>
        <w:pStyle w:val="18"/>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pPr>
        <w:pStyle w:val="18"/>
        <w:jc w:val="both"/>
        <w:rPr>
          <w:rFonts w:ascii="Times New Roman" w:hAnsi="Times New Roman"/>
          <w:sz w:val="20"/>
          <w:szCs w:val="20"/>
        </w:rPr>
      </w:pPr>
      <w:r>
        <w:rPr>
          <w:rFonts w:ascii="Times New Roman" w:hAnsi="Times New Roman"/>
          <w:b/>
          <w:sz w:val="20"/>
          <w:szCs w:val="20"/>
        </w:rPr>
        <w:t>12.2.</w:t>
      </w:r>
      <w:r>
        <w:rPr>
          <w:rFonts w:ascii="Times New Roman" w:hAnsi="Times New Roman"/>
          <w:sz w:val="20"/>
          <w:szCs w:val="20"/>
        </w:rPr>
        <w:tab/>
      </w:r>
      <w:r>
        <w:rPr>
          <w:rFonts w:ascii="Times New Roman" w:hAnsi="Times New Roman"/>
          <w:sz w:val="20"/>
          <w:szCs w:val="20"/>
        </w:rPr>
        <w:t>В случае возникновения у Стороны подозрений, что произошло или может произойти нарушение каких-либо положений пункта 12.1. настоящего Контракта,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Контракта другой Стороной, ее аффилированными лицами, работниками или посредниками.</w:t>
      </w:r>
    </w:p>
    <w:p>
      <w:pPr>
        <w:widowControl/>
        <w:suppressAutoHyphens w:val="0"/>
        <w:jc w:val="both"/>
        <w:rPr>
          <w:rFonts w:eastAsia="Calibri" w:cs="Times New Roman"/>
          <w:bCs/>
          <w:kern w:val="0"/>
          <w:sz w:val="20"/>
          <w:szCs w:val="20"/>
          <w:lang w:eastAsia="en-US" w:bidi="ar-SA"/>
        </w:rPr>
      </w:pPr>
      <w:r>
        <w:rPr>
          <w:rFonts w:eastAsia="Calibri" w:cs="Times New Roman"/>
          <w:kern w:val="0"/>
          <w:sz w:val="20"/>
          <w:szCs w:val="20"/>
          <w:lang w:eastAsia="en-US" w:bidi="ar-SA"/>
        </w:rPr>
        <w:t xml:space="preserve">Каналы уведомления Потребителя о нарушениях каких-либо положений пункта 12.1. настоящего Контракта: </w:t>
      </w:r>
      <w:r>
        <w:t>___________________ (</w:t>
      </w:r>
      <w:r>
        <w:rPr>
          <w:rFonts w:eastAsia="Calibri" w:cs="Times New Roman"/>
          <w:bCs/>
          <w:kern w:val="0"/>
          <w:sz w:val="20"/>
          <w:szCs w:val="20"/>
          <w:lang w:eastAsia="en-US" w:bidi="ar-SA"/>
        </w:rPr>
        <w:t>электронная почта Потребителя).</w:t>
      </w:r>
    </w:p>
    <w:p>
      <w:pPr>
        <w:widowControl/>
        <w:suppressAutoHyphens w:val="0"/>
        <w:jc w:val="both"/>
      </w:pPr>
      <w:r>
        <w:rPr>
          <w:rFonts w:eastAsia="Calibri" w:cs="Times New Roman"/>
          <w:kern w:val="0"/>
          <w:sz w:val="20"/>
          <w:szCs w:val="20"/>
          <w:lang w:eastAsia="en-US" w:bidi="ar-SA"/>
        </w:rPr>
        <w:t>Каналы уведомления Регионального оператора о нарушениях каких-либо положений пункта 12.1. настоящего Контракта: тел</w:t>
      </w:r>
      <w:r>
        <w:t>. ________________.</w:t>
      </w:r>
    </w:p>
    <w:p>
      <w:pPr>
        <w:pStyle w:val="18"/>
        <w:jc w:val="both"/>
        <w:rPr>
          <w:rFonts w:ascii="Times New Roman" w:hAnsi="Times New Roman"/>
          <w:sz w:val="20"/>
          <w:szCs w:val="20"/>
        </w:rPr>
      </w:pPr>
      <w:r>
        <w:rPr>
          <w:rFonts w:ascii="Times New Roman" w:hAnsi="Times New Roman"/>
          <w:b/>
          <w:sz w:val="20"/>
          <w:szCs w:val="20"/>
        </w:rPr>
        <w:t>12.3.</w:t>
      </w:r>
      <w:r>
        <w:rPr>
          <w:rFonts w:ascii="Times New Roman" w:hAnsi="Times New Roman"/>
          <w:sz w:val="20"/>
          <w:szCs w:val="20"/>
        </w:rPr>
        <w:tab/>
      </w:r>
      <w:r>
        <w:rPr>
          <w:rFonts w:ascii="Times New Roman" w:hAnsi="Times New Roman"/>
          <w:sz w:val="20"/>
          <w:szCs w:val="20"/>
        </w:rPr>
        <w:t xml:space="preserve">  Сторона, получившая уведомление о нарушении каких-либо положений пункта 12.1. настоящего Контракта,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w:t>
      </w:r>
    </w:p>
    <w:p>
      <w:pPr>
        <w:pStyle w:val="18"/>
        <w:jc w:val="both"/>
        <w:rPr>
          <w:rFonts w:ascii="Times New Roman" w:hAnsi="Times New Roman"/>
          <w:sz w:val="20"/>
          <w:szCs w:val="20"/>
        </w:rPr>
      </w:pPr>
      <w:r>
        <w:rPr>
          <w:rFonts w:ascii="Times New Roman" w:hAnsi="Times New Roman"/>
          <w:b/>
          <w:sz w:val="20"/>
          <w:szCs w:val="20"/>
        </w:rPr>
        <w:t>12.4.</w:t>
      </w:r>
      <w:r>
        <w:rPr>
          <w:rFonts w:ascii="Times New Roman" w:hAnsi="Times New Roman"/>
          <w:sz w:val="20"/>
          <w:szCs w:val="20"/>
        </w:rPr>
        <w:tab/>
      </w:r>
      <w:r>
        <w:rPr>
          <w:rFonts w:ascii="Times New Roman" w:hAnsi="Times New Roman"/>
          <w:sz w:val="20"/>
          <w:szCs w:val="20"/>
        </w:rPr>
        <w:t xml:space="preserve">  Стороны гарантируют осуществление надлежащего разбирательства по фактам нарушения положений пункта 12.1. настоящего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pPr>
        <w:pStyle w:val="18"/>
        <w:jc w:val="both"/>
        <w:rPr>
          <w:rFonts w:ascii="Times New Roman" w:hAnsi="Times New Roman"/>
          <w:sz w:val="20"/>
          <w:szCs w:val="20"/>
        </w:rPr>
      </w:pPr>
      <w:r>
        <w:rPr>
          <w:rFonts w:ascii="Times New Roman" w:hAnsi="Times New Roman"/>
          <w:b/>
          <w:sz w:val="20"/>
          <w:szCs w:val="20"/>
        </w:rPr>
        <w:t>12.5.</w:t>
      </w:r>
      <w:r>
        <w:rPr>
          <w:rFonts w:ascii="Times New Roman" w:hAnsi="Times New Roman"/>
          <w:sz w:val="20"/>
          <w:szCs w:val="20"/>
        </w:rPr>
        <w:tab/>
      </w:r>
      <w:r>
        <w:rPr>
          <w:rFonts w:ascii="Times New Roman" w:hAnsi="Times New Roman"/>
          <w:sz w:val="20"/>
          <w:szCs w:val="20"/>
        </w:rPr>
        <w:t>В случае подтверждения факта нарушения одной Стороной положений пункта 12.1. настоящего контракта и/или неполучения другой Стороной информации об итогах рассмотрения уведомления о нарушении в соответствии с пунктом 12.2. настоящего Контракта, другая Сторона имеет право расторгнуть настоящий Контракт в одностороннем внесудебном порядке путем направления письменного уведомления не позднее чем за 45 (сорок пять) календарных дней до даты прекращения действия настоящего Контракта.</w:t>
      </w:r>
    </w:p>
    <w:p>
      <w:pPr>
        <w:pStyle w:val="18"/>
        <w:jc w:val="both"/>
        <w:rPr>
          <w:rFonts w:ascii="Times New Roman" w:hAnsi="Times New Roman"/>
          <w:spacing w:val="-4"/>
          <w:sz w:val="20"/>
          <w:szCs w:val="20"/>
        </w:rPr>
      </w:pPr>
    </w:p>
    <w:p>
      <w:pPr>
        <w:pStyle w:val="18"/>
        <w:numPr>
          <w:ilvl w:val="0"/>
          <w:numId w:val="4"/>
        </w:numPr>
        <w:jc w:val="center"/>
        <w:rPr>
          <w:rFonts w:ascii="Times New Roman" w:hAnsi="Times New Roman"/>
          <w:b/>
          <w:sz w:val="20"/>
          <w:szCs w:val="20"/>
        </w:rPr>
      </w:pPr>
      <w:r>
        <w:rPr>
          <w:rFonts w:ascii="Times New Roman" w:hAnsi="Times New Roman"/>
          <w:b/>
          <w:sz w:val="20"/>
          <w:szCs w:val="20"/>
        </w:rPr>
        <w:t>Прочие условия</w:t>
      </w:r>
    </w:p>
    <w:p>
      <w:pPr>
        <w:pStyle w:val="18"/>
        <w:jc w:val="both"/>
        <w:rPr>
          <w:rFonts w:ascii="Times New Roman" w:hAnsi="Times New Roman"/>
          <w:sz w:val="20"/>
          <w:szCs w:val="20"/>
        </w:rPr>
      </w:pPr>
      <w:r>
        <w:rPr>
          <w:rFonts w:ascii="Times New Roman" w:hAnsi="Times New Roman"/>
          <w:b/>
          <w:sz w:val="20"/>
          <w:szCs w:val="20"/>
        </w:rPr>
        <w:t xml:space="preserve">13.1. </w:t>
      </w:r>
      <w:r>
        <w:rPr>
          <w:rFonts w:ascii="Times New Roman" w:hAnsi="Times New Roman"/>
          <w:b/>
          <w:sz w:val="20"/>
          <w:szCs w:val="20"/>
        </w:rPr>
        <w:tab/>
      </w:r>
      <w:r>
        <w:rPr>
          <w:rFonts w:ascii="Times New Roman" w:hAnsi="Times New Roman"/>
          <w:sz w:val="20"/>
          <w:szCs w:val="20"/>
        </w:rPr>
        <w:t>Во всем остальном, не предусмотренном настоящим Контрактом, стороны руководствуются действующим законодательством Российской Федерации.</w:t>
      </w:r>
    </w:p>
    <w:p>
      <w:pPr>
        <w:pStyle w:val="18"/>
        <w:jc w:val="both"/>
        <w:rPr>
          <w:rFonts w:ascii="Times New Roman" w:hAnsi="Times New Roman"/>
          <w:sz w:val="20"/>
          <w:szCs w:val="20"/>
        </w:rPr>
      </w:pPr>
      <w:r>
        <w:rPr>
          <w:rFonts w:ascii="Times New Roman" w:hAnsi="Times New Roman"/>
          <w:b/>
          <w:sz w:val="20"/>
          <w:szCs w:val="20"/>
        </w:rPr>
        <w:t>13.2.</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Все изменения, которые вносятся в настоящий Контракт, считаются действительными, если они оформлены в письменном виде, подписаны уполномоченными на то лицами.</w:t>
      </w:r>
    </w:p>
    <w:p>
      <w:pPr>
        <w:pStyle w:val="18"/>
        <w:jc w:val="both"/>
        <w:rPr>
          <w:rFonts w:ascii="Times New Roman" w:hAnsi="Times New Roman"/>
          <w:sz w:val="20"/>
          <w:szCs w:val="20"/>
        </w:rPr>
      </w:pPr>
      <w:r>
        <w:rPr>
          <w:rFonts w:ascii="Times New Roman" w:hAnsi="Times New Roman"/>
          <w:b/>
          <w:sz w:val="20"/>
          <w:szCs w:val="20"/>
        </w:rPr>
        <w:t>13.3.</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Право собственности на ТКО переходит к Региональному оператору с момента погрузки ТКО в мусоровоз.</w:t>
      </w:r>
    </w:p>
    <w:p>
      <w:pPr>
        <w:pStyle w:val="18"/>
        <w:jc w:val="both"/>
        <w:rPr>
          <w:rFonts w:ascii="Times New Roman" w:hAnsi="Times New Roman"/>
          <w:sz w:val="20"/>
          <w:szCs w:val="20"/>
        </w:rPr>
      </w:pPr>
      <w:r>
        <w:rPr>
          <w:rFonts w:ascii="Times New Roman" w:hAnsi="Times New Roman"/>
          <w:b/>
          <w:sz w:val="20"/>
          <w:szCs w:val="20"/>
        </w:rPr>
        <w:t>13.4.</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письмом на эл. почту, нарочно), позволяющим  подтвердить его получение.</w:t>
      </w:r>
      <w:r>
        <w:t xml:space="preserve"> </w:t>
      </w:r>
      <w:r>
        <w:rPr>
          <w:rFonts w:ascii="Times New Roman" w:hAnsi="Times New Roman"/>
          <w:sz w:val="20"/>
          <w:szCs w:val="20"/>
        </w:rPr>
        <w:t>Сторона, изменившая реквизиты и не уведомившая об этом другую сторону в установленный данным пунктом срок, не имеет права ссылаться на то, что предусмотренные настоящим Контрактом и направленные ей предписания, уведомления, сообщения, акты и т.д. не получены и вследствие этого не исполнены.</w:t>
      </w:r>
    </w:p>
    <w:p>
      <w:pPr>
        <w:pStyle w:val="18"/>
        <w:jc w:val="both"/>
        <w:rPr>
          <w:rFonts w:ascii="Times New Roman" w:hAnsi="Times New Roman" w:eastAsia="Arial Unicode MS"/>
          <w:color w:val="000000"/>
          <w:sz w:val="20"/>
          <w:szCs w:val="20"/>
          <w:lang w:bidi="ru-RU"/>
        </w:rPr>
      </w:pPr>
      <w:r>
        <w:rPr>
          <w:rFonts w:ascii="Times New Roman" w:hAnsi="Times New Roman" w:eastAsia="Arial Unicode MS"/>
          <w:b/>
          <w:color w:val="000000"/>
          <w:sz w:val="20"/>
          <w:szCs w:val="20"/>
          <w:lang w:bidi="ru-RU"/>
        </w:rPr>
        <w:t>13.5.</w:t>
      </w:r>
      <w:r>
        <w:rPr>
          <w:rFonts w:ascii="Times New Roman" w:hAnsi="Times New Roman" w:eastAsia="Arial Unicode MS"/>
          <w:color w:val="000000"/>
          <w:sz w:val="20"/>
          <w:szCs w:val="20"/>
          <w:lang w:bidi="ru-RU"/>
        </w:rPr>
        <w:t xml:space="preserve"> Стороны пришли к соглашению о том, что вся переписка и иные юридически значимые сообщения, уведомления или документы, должны направляться Сторонами (друг другу) одним из нижеперечисленных способов: </w:t>
      </w:r>
    </w:p>
    <w:p>
      <w:pPr>
        <w:pStyle w:val="18"/>
        <w:jc w:val="both"/>
        <w:rPr>
          <w:rFonts w:ascii="Times New Roman" w:hAnsi="Times New Roman" w:eastAsia="Arial Unicode MS"/>
          <w:color w:val="000000"/>
          <w:sz w:val="20"/>
          <w:szCs w:val="20"/>
          <w:lang w:bidi="ru-RU"/>
        </w:rPr>
      </w:pPr>
      <w:r>
        <w:rPr>
          <w:rFonts w:ascii="Times New Roman" w:hAnsi="Times New Roman" w:eastAsia="Arial Unicode MS"/>
          <w:color w:val="000000"/>
          <w:sz w:val="20"/>
          <w:szCs w:val="20"/>
          <w:lang w:bidi="ru-RU"/>
        </w:rPr>
        <w:t>- посредством электронного документооборота (СБИС);</w:t>
      </w:r>
    </w:p>
    <w:p>
      <w:pPr>
        <w:pStyle w:val="18"/>
        <w:jc w:val="both"/>
        <w:rPr>
          <w:rFonts w:ascii="Times New Roman" w:hAnsi="Times New Roman" w:eastAsia="Arial Unicode MS"/>
          <w:color w:val="000000"/>
          <w:sz w:val="20"/>
          <w:szCs w:val="20"/>
          <w:lang w:bidi="ru-RU"/>
        </w:rPr>
      </w:pPr>
      <w:r>
        <w:rPr>
          <w:rFonts w:ascii="Times New Roman" w:hAnsi="Times New Roman" w:eastAsia="Arial Unicode MS"/>
          <w:color w:val="000000"/>
          <w:sz w:val="20"/>
          <w:szCs w:val="20"/>
          <w:lang w:bidi="ru-RU"/>
        </w:rPr>
        <w:t>- на электронный почтовый ящик (e-mail), указанный в Разделе 14. «Реквизиты сторон» настоящего Контракта – при этом подтверждением такого направления является сохраненная отправившей стороной в ее электронном почтовом ящике скан-копия документа (сообщения) в формате PDF, JPEG, TIFF или PNG, а также распечатанная бумажная версия отправленного сообщения – такое письмо считается полученным адресатом на следующий календарный день после его отправки Стороной - отправителем;</w:t>
      </w:r>
    </w:p>
    <w:p>
      <w:pPr>
        <w:pStyle w:val="18"/>
        <w:jc w:val="both"/>
        <w:rPr>
          <w:rFonts w:ascii="Times New Roman" w:hAnsi="Times New Roman" w:eastAsia="Arial Unicode MS"/>
          <w:color w:val="000000"/>
          <w:sz w:val="20"/>
          <w:szCs w:val="20"/>
          <w:lang w:bidi="ru-RU"/>
        </w:rPr>
      </w:pPr>
      <w:r>
        <w:rPr>
          <w:rFonts w:ascii="Times New Roman" w:hAnsi="Times New Roman" w:eastAsia="Arial Unicode MS"/>
          <w:color w:val="000000"/>
          <w:sz w:val="20"/>
          <w:szCs w:val="20"/>
          <w:lang w:bidi="ru-RU"/>
        </w:rPr>
        <w:t>- заказным письмом по адресу местонахождения Стороны;</w:t>
      </w:r>
    </w:p>
    <w:p>
      <w:pPr>
        <w:pStyle w:val="18"/>
        <w:jc w:val="both"/>
        <w:rPr>
          <w:rFonts w:ascii="Times New Roman" w:hAnsi="Times New Roman" w:eastAsia="Arial Unicode MS"/>
          <w:color w:val="000000"/>
          <w:sz w:val="20"/>
          <w:szCs w:val="20"/>
          <w:lang w:bidi="ru-RU"/>
        </w:rPr>
      </w:pPr>
      <w:r>
        <w:rPr>
          <w:rFonts w:ascii="Times New Roman" w:hAnsi="Times New Roman" w:eastAsia="Arial Unicode MS"/>
          <w:color w:val="000000"/>
          <w:sz w:val="20"/>
          <w:szCs w:val="20"/>
          <w:lang w:bidi="ru-RU"/>
        </w:rPr>
        <w:t>- передача лично Стороне или ее уполномоченному представителю под роспись либо по передаточному акту.</w:t>
      </w:r>
    </w:p>
    <w:p>
      <w:pPr>
        <w:pStyle w:val="18"/>
        <w:jc w:val="both"/>
        <w:rPr>
          <w:rFonts w:ascii="Times New Roman" w:hAnsi="Times New Roman" w:eastAsia="Arial Unicode MS"/>
          <w:color w:val="000000"/>
          <w:sz w:val="20"/>
          <w:szCs w:val="20"/>
          <w:lang w:bidi="ru-RU"/>
        </w:rPr>
      </w:pPr>
      <w:r>
        <w:rPr>
          <w:rFonts w:ascii="Times New Roman" w:hAnsi="Times New Roman" w:eastAsia="Arial Unicode MS"/>
          <w:b/>
          <w:bCs/>
          <w:color w:val="000000"/>
          <w:sz w:val="20"/>
          <w:szCs w:val="20"/>
          <w:lang w:bidi="ru-RU"/>
        </w:rPr>
        <w:t>13.6.</w:t>
      </w:r>
      <w:r>
        <w:rPr>
          <w:rFonts w:ascii="Times New Roman" w:hAnsi="Times New Roman" w:eastAsia="Arial Unicode MS"/>
          <w:color w:val="000000"/>
          <w:sz w:val="20"/>
          <w:szCs w:val="20"/>
          <w:lang w:bidi="ru-RU"/>
        </w:rPr>
        <w:t xml:space="preserve"> Контракт, его дополнения и изменения, УПД, счета, представленные с использованием средств факсимильной и электронной связи, позволяющим идентифицировать отправителя и дату отправления, имеют юридическую силу, с последующим обязательным подтверждением оригиналами. При использовании электронного документооборота (СБИС) дополнительный обмен оригиналами не требуется.</w:t>
      </w:r>
    </w:p>
    <w:p>
      <w:pPr>
        <w:pStyle w:val="18"/>
        <w:jc w:val="both"/>
        <w:rPr>
          <w:rFonts w:ascii="Times New Roman" w:hAnsi="Times New Roman"/>
          <w:sz w:val="20"/>
          <w:szCs w:val="20"/>
        </w:rPr>
      </w:pPr>
      <w:r>
        <w:rPr>
          <w:rFonts w:ascii="Times New Roman" w:hAnsi="Times New Roman"/>
          <w:b/>
          <w:sz w:val="20"/>
          <w:szCs w:val="20"/>
        </w:rPr>
        <w:t>13.7.</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При исполнении настоящего Контракта стороны обязуются руководствоваться законодательством Российской Федерации, в том числе положениями Федерального </w:t>
      </w:r>
      <w:r>
        <w:fldChar w:fldCharType="begin"/>
      </w:r>
      <w:r>
        <w:instrText xml:space="preserve"> HYPERLINK "consultantplus://offline/ref%3D47167082F25963C0EB1319F6D7071027D5EBCC6ABE949E91899A14FF3Cr04DL" \h </w:instrText>
      </w:r>
      <w:r>
        <w:fldChar w:fldCharType="separate"/>
      </w:r>
      <w:r>
        <w:rPr>
          <w:rFonts w:ascii="Times New Roman" w:hAnsi="Times New Roman"/>
          <w:sz w:val="20"/>
          <w:szCs w:val="20"/>
        </w:rPr>
        <w:t>закона</w:t>
      </w:r>
      <w:r>
        <w:rPr>
          <w:rFonts w:ascii="Times New Roman" w:hAnsi="Times New Roman"/>
          <w:sz w:val="20"/>
          <w:szCs w:val="20"/>
        </w:rPr>
        <w:fldChar w:fldCharType="end"/>
      </w:r>
      <w:r>
        <w:rPr>
          <w:rFonts w:ascii="Times New Roman" w:hAnsi="Times New Roman"/>
          <w:sz w:val="20"/>
          <w:szCs w:val="20"/>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pPr>
        <w:pStyle w:val="18"/>
        <w:jc w:val="both"/>
        <w:rPr>
          <w:rFonts w:ascii="Times New Roman" w:hAnsi="Times New Roman"/>
          <w:sz w:val="20"/>
          <w:szCs w:val="20"/>
        </w:rPr>
      </w:pPr>
      <w:r>
        <w:rPr>
          <w:rFonts w:ascii="Times New Roman" w:hAnsi="Times New Roman"/>
          <w:b/>
          <w:sz w:val="20"/>
          <w:szCs w:val="20"/>
        </w:rPr>
        <w:t>13.8.</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Настоящий Контракт составлен в 2 (двух) экземплярах, имеющих равную юридическую силу, по одному экземпляру для каждой из Сторон.</w:t>
      </w:r>
    </w:p>
    <w:p>
      <w:pPr>
        <w:pStyle w:val="18"/>
        <w:jc w:val="both"/>
        <w:rPr>
          <w:rFonts w:ascii="Times New Roman" w:hAnsi="Times New Roman"/>
          <w:b/>
          <w:sz w:val="20"/>
          <w:szCs w:val="20"/>
        </w:rPr>
      </w:pPr>
    </w:p>
    <w:p>
      <w:pPr>
        <w:pStyle w:val="16"/>
        <w:tabs>
          <w:tab w:val="left" w:pos="1319"/>
        </w:tabs>
        <w:ind w:left="-284" w:right="112" w:firstLine="284"/>
        <w:contextualSpacing w:val="0"/>
        <w:jc w:val="both"/>
        <w:rPr>
          <w:rFonts w:ascii="Times New Roman" w:hAnsi="Times New Roman" w:eastAsia="Calibri" w:cs="Times New Roman"/>
          <w:b/>
          <w:color w:val="auto"/>
          <w:sz w:val="20"/>
          <w:szCs w:val="20"/>
          <w:lang w:eastAsia="en-US" w:bidi="ar-SA"/>
        </w:rPr>
      </w:pPr>
      <w:r>
        <w:rPr>
          <w:rFonts w:ascii="Times New Roman" w:hAnsi="Times New Roman" w:eastAsia="Calibri" w:cs="Times New Roman"/>
          <w:b/>
          <w:color w:val="auto"/>
          <w:sz w:val="20"/>
          <w:szCs w:val="20"/>
          <w:lang w:eastAsia="en-US" w:bidi="ar-SA"/>
        </w:rPr>
        <w:t>Приложение:</w:t>
      </w:r>
    </w:p>
    <w:p>
      <w:pPr>
        <w:pStyle w:val="16"/>
        <w:tabs>
          <w:tab w:val="left" w:pos="1319"/>
        </w:tabs>
        <w:ind w:left="-284" w:right="112" w:firstLine="284"/>
        <w:contextualSpacing w:val="0"/>
        <w:jc w:val="both"/>
        <w:rPr>
          <w:rFonts w:ascii="Times New Roman" w:hAnsi="Times New Roman" w:eastAsia="Calibri" w:cs="Times New Roman"/>
          <w:sz w:val="20"/>
          <w:szCs w:val="20"/>
          <w:lang w:eastAsia="en-US" w:bidi="ar-SA"/>
        </w:rPr>
      </w:pPr>
      <w:r>
        <w:rPr>
          <w:rFonts w:ascii="Times New Roman" w:hAnsi="Times New Roman" w:eastAsia="Calibri" w:cs="Times New Roman"/>
          <w:sz w:val="20"/>
          <w:szCs w:val="20"/>
        </w:rPr>
        <w:t xml:space="preserve">№ 1 – Перечень мест расположения контейнерных площадок и график оказания услуг; </w:t>
      </w:r>
    </w:p>
    <w:p>
      <w:pPr>
        <w:pStyle w:val="16"/>
        <w:tabs>
          <w:tab w:val="left" w:pos="1319"/>
        </w:tabs>
        <w:ind w:left="-284" w:right="112" w:firstLine="284"/>
        <w:contextualSpacing w:val="0"/>
        <w:jc w:val="both"/>
        <w:rPr>
          <w:rFonts w:ascii="Times New Roman" w:hAnsi="Times New Roman" w:cs="Times New Roman"/>
          <w:b/>
          <w:sz w:val="20"/>
          <w:szCs w:val="20"/>
        </w:rPr>
      </w:pPr>
      <w:r>
        <w:rPr>
          <w:rFonts w:ascii="Times New Roman" w:hAnsi="Times New Roman" w:eastAsia="Calibri" w:cs="Times New Roman"/>
          <w:sz w:val="20"/>
          <w:szCs w:val="20"/>
        </w:rPr>
        <w:t>№ 2 - Перечень твердых коммунальных отходов.</w:t>
      </w:r>
    </w:p>
    <w:p>
      <w:pPr>
        <w:pStyle w:val="16"/>
        <w:autoSpaceDE w:val="0"/>
        <w:autoSpaceDN w:val="0"/>
        <w:adjustRightInd w:val="0"/>
        <w:ind w:left="0"/>
        <w:contextualSpacing w:val="0"/>
        <w:jc w:val="center"/>
        <w:outlineLvl w:val="0"/>
        <w:rPr>
          <w:rFonts w:ascii="Times New Roman" w:hAnsi="Times New Roman" w:cs="Times New Roman"/>
          <w:b/>
          <w:sz w:val="20"/>
          <w:szCs w:val="20"/>
        </w:rPr>
      </w:pPr>
    </w:p>
    <w:p>
      <w:pPr>
        <w:pStyle w:val="16"/>
        <w:numPr>
          <w:ilvl w:val="0"/>
          <w:numId w:val="4"/>
        </w:numPr>
        <w:autoSpaceDE w:val="0"/>
        <w:autoSpaceDN w:val="0"/>
        <w:adjustRightInd w:val="0"/>
        <w:contextualSpacing w:val="0"/>
        <w:jc w:val="center"/>
        <w:outlineLvl w:val="0"/>
        <w:rPr>
          <w:rFonts w:ascii="Times New Roman" w:hAnsi="Times New Roman" w:cs="Times New Roman"/>
          <w:b/>
          <w:sz w:val="20"/>
          <w:szCs w:val="20"/>
        </w:rPr>
      </w:pPr>
      <w:r>
        <w:rPr>
          <w:rFonts w:ascii="Times New Roman" w:hAnsi="Times New Roman" w:cs="Times New Roman"/>
          <w:b/>
          <w:sz w:val="20"/>
          <w:szCs w:val="20"/>
        </w:rPr>
        <w:t>Реквизиты сторон:</w:t>
      </w:r>
    </w:p>
    <w:p>
      <w:pPr>
        <w:autoSpaceDE w:val="0"/>
        <w:autoSpaceDN w:val="0"/>
        <w:adjustRightInd w:val="0"/>
        <w:jc w:val="center"/>
        <w:outlineLvl w:val="0"/>
        <w:rPr>
          <w:rFonts w:cs="Times New Roman"/>
          <w:b/>
          <w:sz w:val="20"/>
          <w:szCs w:val="20"/>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2"/>
        <w:gridCol w:w="4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5154" w:type="dxa"/>
          </w:tcPr>
          <w:p>
            <w:pPr>
              <w:jc w:val="center"/>
              <w:rPr>
                <w:b/>
                <w:bCs/>
                <w:sz w:val="18"/>
                <w:szCs w:val="18"/>
              </w:rPr>
            </w:pPr>
            <w:r>
              <w:rPr>
                <w:b/>
                <w:bCs/>
                <w:sz w:val="18"/>
                <w:szCs w:val="18"/>
              </w:rPr>
              <w:t>Региональный оператор:</w:t>
            </w:r>
          </w:p>
          <w:p>
            <w:pPr>
              <w:rPr>
                <w:rFonts w:ascii="Times New Roman" w:hAnsi="Times New Roman" w:eastAsia="Calibri" w:cs="Times New Roman"/>
                <w:sz w:val="18"/>
                <w:szCs w:val="18"/>
              </w:rPr>
            </w:pPr>
            <w:r>
              <w:rPr>
                <w:rFonts w:ascii="Times New Roman" w:hAnsi="Times New Roman" w:eastAsia="Calibri" w:cs="Times New Roman"/>
                <w:sz w:val="18"/>
                <w:szCs w:val="18"/>
              </w:rPr>
              <w:t xml:space="preserve">ООО «Рециклинговая компания» </w:t>
            </w:r>
          </w:p>
          <w:p>
            <w:pPr>
              <w:rPr>
                <w:rFonts w:ascii="Times New Roman" w:hAnsi="Times New Roman" w:eastAsia="Calibri" w:cs="Times New Roman"/>
                <w:sz w:val="18"/>
                <w:szCs w:val="18"/>
              </w:rPr>
            </w:pPr>
          </w:p>
          <w:p>
            <w:pPr>
              <w:rPr>
                <w:rFonts w:ascii="Times New Roman" w:hAnsi="Times New Roman" w:eastAsia="Calibri" w:cs="Times New Roman"/>
                <w:sz w:val="18"/>
                <w:szCs w:val="18"/>
              </w:rPr>
            </w:pPr>
            <w:r>
              <w:rPr>
                <w:rFonts w:ascii="Times New Roman" w:hAnsi="Times New Roman" w:eastAsia="Calibri" w:cs="Times New Roman"/>
                <w:sz w:val="18"/>
                <w:szCs w:val="18"/>
              </w:rPr>
              <w:t>ИНН/КПП 2461225916/246001001 ОГРН 1142468022223</w:t>
            </w:r>
          </w:p>
          <w:p>
            <w:pPr>
              <w:rPr>
                <w:rFonts w:ascii="Times New Roman" w:hAnsi="Times New Roman" w:eastAsia="Calibri" w:cs="Times New Roman"/>
                <w:sz w:val="18"/>
                <w:szCs w:val="18"/>
              </w:rPr>
            </w:pPr>
            <w:r>
              <w:rPr>
                <w:rFonts w:ascii="Times New Roman" w:hAnsi="Times New Roman" w:eastAsia="Calibri" w:cs="Times New Roman"/>
                <w:sz w:val="18"/>
                <w:szCs w:val="18"/>
              </w:rPr>
              <w:t>Юридический адрес:</w:t>
            </w:r>
          </w:p>
          <w:p>
            <w:pPr>
              <w:rPr>
                <w:rFonts w:ascii="Times New Roman" w:hAnsi="Times New Roman" w:eastAsia="Calibri" w:cs="Times New Roman"/>
                <w:sz w:val="18"/>
                <w:szCs w:val="18"/>
              </w:rPr>
            </w:pPr>
            <w:r>
              <w:rPr>
                <w:rFonts w:ascii="Times New Roman" w:hAnsi="Times New Roman" w:eastAsia="Calibri" w:cs="Times New Roman"/>
                <w:sz w:val="18"/>
                <w:szCs w:val="18"/>
              </w:rPr>
              <w:t>660018, г. Красноярск, ул. Куйбышева, д.93, офис 124</w:t>
            </w:r>
          </w:p>
          <w:p>
            <w:pPr>
              <w:rPr>
                <w:rFonts w:ascii="Times New Roman" w:hAnsi="Times New Roman" w:eastAsia="Calibri" w:cs="Times New Roman"/>
                <w:sz w:val="18"/>
                <w:szCs w:val="18"/>
              </w:rPr>
            </w:pPr>
            <w:r>
              <w:rPr>
                <w:rFonts w:ascii="Times New Roman" w:hAnsi="Times New Roman" w:eastAsia="Calibri" w:cs="Times New Roman"/>
                <w:sz w:val="18"/>
                <w:szCs w:val="18"/>
              </w:rPr>
              <w:t>Почтовый адрес:</w:t>
            </w:r>
          </w:p>
          <w:p>
            <w:pPr>
              <w:rPr>
                <w:rFonts w:ascii="Times New Roman" w:hAnsi="Times New Roman" w:eastAsia="Calibri" w:cs="Times New Roman"/>
                <w:sz w:val="18"/>
                <w:szCs w:val="18"/>
              </w:rPr>
            </w:pPr>
            <w:r>
              <w:rPr>
                <w:rFonts w:ascii="Times New Roman" w:hAnsi="Times New Roman" w:eastAsia="Calibri" w:cs="Times New Roman"/>
                <w:sz w:val="18"/>
                <w:szCs w:val="18"/>
              </w:rPr>
              <w:t>660018, г. Красноярск, ул. Куйбышева, д.93, офис 124</w:t>
            </w:r>
          </w:p>
          <w:p>
            <w:pPr>
              <w:rPr>
                <w:rFonts w:ascii="Times New Roman" w:hAnsi="Times New Roman" w:eastAsia="Calibri" w:cs="Times New Roman"/>
                <w:sz w:val="18"/>
                <w:szCs w:val="18"/>
              </w:rPr>
            </w:pPr>
          </w:p>
          <w:p>
            <w:pPr>
              <w:rPr>
                <w:rFonts w:hint="default" w:ascii="Times New Roman" w:hAnsi="Times New Roman" w:eastAsia="Calibri" w:cs="Times New Roman"/>
                <w:sz w:val="18"/>
                <w:szCs w:val="18"/>
                <w:lang w:val="ru-RU"/>
              </w:rPr>
            </w:pPr>
            <w:r>
              <w:rPr>
                <w:rFonts w:ascii="Times New Roman" w:hAnsi="Times New Roman" w:eastAsia="Calibri" w:cs="Times New Roman"/>
                <w:sz w:val="18"/>
                <w:szCs w:val="18"/>
              </w:rPr>
              <w:t>- Реквизиты для потребителей</w:t>
            </w:r>
            <w:r>
              <w:rPr>
                <w:rFonts w:hint="default" w:eastAsia="Calibri" w:cs="Times New Roman"/>
                <w:sz w:val="18"/>
                <w:szCs w:val="18"/>
                <w:lang w:val="ru-RU"/>
              </w:rPr>
              <w:t>:</w:t>
            </w:r>
          </w:p>
          <w:p>
            <w:pPr>
              <w:rPr>
                <w:rFonts w:ascii="Times New Roman" w:hAnsi="Times New Roman" w:eastAsia="Calibri" w:cs="Times New Roman"/>
                <w:sz w:val="18"/>
                <w:szCs w:val="18"/>
              </w:rPr>
            </w:pPr>
            <w:r>
              <w:rPr>
                <w:rFonts w:ascii="Times New Roman" w:hAnsi="Times New Roman" w:eastAsia="Calibri" w:cs="Times New Roman"/>
                <w:sz w:val="18"/>
                <w:szCs w:val="18"/>
              </w:rPr>
              <w:t>р/счет</w:t>
            </w:r>
            <w:r>
              <w:rPr>
                <w:rFonts w:ascii="Times New Roman" w:hAnsi="Times New Roman" w:eastAsia="Calibri" w:cs="Times New Roman"/>
                <w:sz w:val="18"/>
                <w:szCs w:val="18"/>
                <w:lang w:val="en-US"/>
              </w:rPr>
              <w:t> </w:t>
            </w:r>
            <w:r>
              <w:rPr>
                <w:rFonts w:ascii="Times New Roman" w:hAnsi="Times New Roman" w:eastAsia="Calibri" w:cs="Times New Roman"/>
                <w:sz w:val="18"/>
                <w:szCs w:val="18"/>
              </w:rPr>
              <w:t>40702810331000096443</w:t>
            </w:r>
          </w:p>
          <w:p>
            <w:pPr>
              <w:rPr>
                <w:rFonts w:ascii="Times New Roman" w:hAnsi="Times New Roman" w:eastAsia="Calibri" w:cs="Times New Roman"/>
                <w:sz w:val="18"/>
                <w:szCs w:val="18"/>
              </w:rPr>
            </w:pPr>
            <w:r>
              <w:rPr>
                <w:rFonts w:ascii="Times New Roman" w:hAnsi="Times New Roman" w:eastAsia="Calibri" w:cs="Times New Roman"/>
                <w:sz w:val="18"/>
                <w:szCs w:val="18"/>
              </w:rPr>
              <w:t>к/счет</w:t>
            </w:r>
            <w:r>
              <w:rPr>
                <w:rFonts w:ascii="Times New Roman" w:hAnsi="Times New Roman" w:eastAsia="Calibri" w:cs="Times New Roman"/>
                <w:sz w:val="18"/>
                <w:szCs w:val="18"/>
                <w:lang w:val="en-US"/>
              </w:rPr>
              <w:t> </w:t>
            </w:r>
            <w:r>
              <w:rPr>
                <w:rFonts w:ascii="Times New Roman" w:hAnsi="Times New Roman" w:eastAsia="Calibri" w:cs="Times New Roman"/>
                <w:sz w:val="18"/>
                <w:szCs w:val="18"/>
              </w:rPr>
              <w:t>30101810800000000627</w:t>
            </w:r>
          </w:p>
          <w:p>
            <w:pPr>
              <w:rPr>
                <w:rFonts w:ascii="Times New Roman" w:hAnsi="Times New Roman" w:eastAsia="Calibri" w:cs="Times New Roman"/>
                <w:sz w:val="18"/>
                <w:szCs w:val="18"/>
              </w:rPr>
            </w:pPr>
            <w:r>
              <w:rPr>
                <w:rFonts w:ascii="Times New Roman" w:hAnsi="Times New Roman" w:eastAsia="Calibri" w:cs="Times New Roman"/>
                <w:sz w:val="18"/>
                <w:szCs w:val="18"/>
              </w:rPr>
              <w:t>БИК</w:t>
            </w:r>
            <w:r>
              <w:rPr>
                <w:rFonts w:ascii="Times New Roman" w:hAnsi="Times New Roman" w:eastAsia="Calibri" w:cs="Times New Roman"/>
                <w:sz w:val="18"/>
                <w:szCs w:val="18"/>
                <w:lang w:val="en-US"/>
              </w:rPr>
              <w:t> </w:t>
            </w:r>
            <w:r>
              <w:rPr>
                <w:rFonts w:ascii="Times New Roman" w:hAnsi="Times New Roman" w:eastAsia="Calibri" w:cs="Times New Roman"/>
                <w:sz w:val="18"/>
                <w:szCs w:val="18"/>
              </w:rPr>
              <w:t>040407627</w:t>
            </w:r>
          </w:p>
          <w:p>
            <w:pPr>
              <w:rPr>
                <w:rFonts w:ascii="Times New Roman" w:hAnsi="Times New Roman" w:eastAsia="Calibri" w:cs="Times New Roman"/>
                <w:sz w:val="18"/>
                <w:szCs w:val="18"/>
              </w:rPr>
            </w:pPr>
            <w:r>
              <w:rPr>
                <w:rFonts w:ascii="Times New Roman" w:hAnsi="Times New Roman" w:eastAsia="Calibri" w:cs="Times New Roman"/>
                <w:sz w:val="18"/>
                <w:szCs w:val="18"/>
              </w:rPr>
              <w:t>Красноярское отделение №8646 ПАО Сбербанк</w:t>
            </w:r>
          </w:p>
          <w:p>
            <w:pPr>
              <w:rPr>
                <w:rFonts w:ascii="Times New Roman" w:hAnsi="Times New Roman" w:eastAsia="Calibri" w:cs="Times New Roman"/>
                <w:sz w:val="18"/>
                <w:szCs w:val="18"/>
              </w:rPr>
            </w:pPr>
          </w:p>
          <w:p>
            <w:pPr>
              <w:rPr>
                <w:rFonts w:ascii="Times New Roman" w:hAnsi="Times New Roman" w:eastAsia="Calibri"/>
                <w:sz w:val="18"/>
                <w:szCs w:val="18"/>
              </w:rPr>
            </w:pPr>
            <w:r>
              <w:rPr>
                <w:rFonts w:ascii="Times New Roman" w:hAnsi="Times New Roman" w:eastAsia="Calibri"/>
                <w:sz w:val="18"/>
                <w:szCs w:val="18"/>
              </w:rPr>
              <w:t xml:space="preserve">Телефон: +7 (391) 225-99-24 </w:t>
            </w:r>
          </w:p>
          <w:p>
            <w:pPr>
              <w:rPr>
                <w:rFonts w:ascii="Times New Roman" w:hAnsi="Times New Roman" w:eastAsia="Calibri"/>
                <w:sz w:val="18"/>
                <w:szCs w:val="18"/>
              </w:rPr>
            </w:pPr>
            <w:r>
              <w:rPr>
                <w:rFonts w:ascii="Times New Roman" w:hAnsi="Times New Roman" w:eastAsia="Calibri"/>
                <w:sz w:val="18"/>
                <w:szCs w:val="18"/>
              </w:rPr>
              <w:t>Телефон: +7 (391) 225-</w:t>
            </w:r>
            <w:r>
              <w:rPr>
                <w:rFonts w:hint="default" w:eastAsia="Calibri"/>
                <w:sz w:val="18"/>
                <w:szCs w:val="18"/>
                <w:lang w:val="ru-RU"/>
              </w:rPr>
              <w:t>00</w:t>
            </w:r>
            <w:r>
              <w:rPr>
                <w:rFonts w:ascii="Times New Roman" w:hAnsi="Times New Roman" w:eastAsia="Calibri"/>
                <w:sz w:val="18"/>
                <w:szCs w:val="18"/>
              </w:rPr>
              <w:t xml:space="preserve">-24 </w:t>
            </w:r>
          </w:p>
          <w:p>
            <w:pPr>
              <w:rPr>
                <w:rFonts w:ascii="Times New Roman" w:hAnsi="Times New Roman" w:eastAsia="Calibri"/>
                <w:sz w:val="18"/>
                <w:szCs w:val="18"/>
              </w:rPr>
            </w:pPr>
          </w:p>
          <w:p>
            <w:pPr>
              <w:numPr>
                <w:ilvl w:val="0"/>
                <w:numId w:val="5"/>
              </w:numPr>
              <w:rPr>
                <w:rFonts w:hint="default" w:ascii="Times New Roman" w:hAnsi="Times New Roman" w:eastAsia="Calibri" w:cs="Times New Roman"/>
                <w:sz w:val="18"/>
                <w:szCs w:val="18"/>
                <w:lang w:val="en-US"/>
              </w:rPr>
            </w:pPr>
            <w:r>
              <w:rPr>
                <w:rFonts w:ascii="Times New Roman" w:hAnsi="Times New Roman" w:eastAsia="Calibri" w:cs="Times New Roman"/>
                <w:sz w:val="18"/>
                <w:szCs w:val="18"/>
                <w:lang w:val="en-US"/>
              </w:rPr>
              <w:t xml:space="preserve">mail: </w:t>
            </w:r>
            <w:r>
              <w:rPr>
                <w:rFonts w:hint="default" w:ascii="Times New Roman" w:hAnsi="Times New Roman" w:eastAsia="Calibri" w:cs="Times New Roman"/>
                <w:sz w:val="18"/>
                <w:szCs w:val="18"/>
                <w:lang w:val="en-US"/>
              </w:rPr>
              <w:fldChar w:fldCharType="begin"/>
            </w:r>
            <w:r>
              <w:rPr>
                <w:rFonts w:hint="default" w:ascii="Times New Roman" w:hAnsi="Times New Roman" w:eastAsia="Calibri" w:cs="Times New Roman"/>
                <w:sz w:val="18"/>
                <w:szCs w:val="18"/>
                <w:lang w:val="en-US"/>
              </w:rPr>
              <w:instrText xml:space="preserve"> HYPERLINK "mailto:info@kashalot24.ru" </w:instrText>
            </w:r>
            <w:r>
              <w:rPr>
                <w:rFonts w:hint="default" w:ascii="Times New Roman" w:hAnsi="Times New Roman" w:eastAsia="Calibri" w:cs="Times New Roman"/>
                <w:sz w:val="18"/>
                <w:szCs w:val="18"/>
                <w:lang w:val="en-US"/>
              </w:rPr>
              <w:fldChar w:fldCharType="separate"/>
            </w:r>
            <w:r>
              <w:rPr>
                <w:rStyle w:val="5"/>
                <w:rFonts w:hint="default" w:ascii="Times New Roman" w:hAnsi="Times New Roman" w:eastAsia="Calibri" w:cs="Times New Roman"/>
                <w:sz w:val="18"/>
                <w:szCs w:val="18"/>
                <w:lang w:val="en-US"/>
              </w:rPr>
              <w:t>info@kashalot24.ru</w:t>
            </w:r>
            <w:r>
              <w:rPr>
                <w:rFonts w:hint="default" w:ascii="Times New Roman" w:hAnsi="Times New Roman" w:eastAsia="Calibri" w:cs="Times New Roman"/>
                <w:sz w:val="18"/>
                <w:szCs w:val="18"/>
                <w:lang w:val="en-US"/>
              </w:rPr>
              <w:fldChar w:fldCharType="end"/>
            </w:r>
          </w:p>
          <w:p>
            <w:pPr>
              <w:rPr>
                <w:rFonts w:ascii="Times New Roman" w:hAnsi="Times New Roman" w:eastAsia="Calibri" w:cs="Times New Roman"/>
                <w:sz w:val="18"/>
                <w:szCs w:val="18"/>
                <w:lang w:val="en-US"/>
              </w:rPr>
            </w:pPr>
          </w:p>
          <w:p>
            <w:pPr>
              <w:rPr>
                <w:rFonts w:ascii="Times New Roman" w:hAnsi="Times New Roman" w:eastAsia="Calibri" w:cs="Times New Roman"/>
                <w:sz w:val="18"/>
                <w:szCs w:val="18"/>
                <w:lang w:val="en-US"/>
              </w:rPr>
            </w:pPr>
            <w:r>
              <w:rPr>
                <w:rFonts w:ascii="Times New Roman" w:hAnsi="Times New Roman" w:eastAsia="Calibri" w:cs="Times New Roman"/>
                <w:sz w:val="18"/>
                <w:szCs w:val="18"/>
              </w:rPr>
              <w:t>Директор</w:t>
            </w:r>
            <w:r>
              <w:rPr>
                <w:rFonts w:ascii="Times New Roman" w:hAnsi="Times New Roman" w:eastAsia="Calibri" w:cs="Times New Roman"/>
                <w:sz w:val="18"/>
                <w:szCs w:val="18"/>
                <w:lang w:val="en-US"/>
              </w:rPr>
              <w:t xml:space="preserve"> </w:t>
            </w:r>
            <w:r>
              <w:rPr>
                <w:rFonts w:ascii="Times New Roman" w:hAnsi="Times New Roman" w:eastAsia="Calibri" w:cs="Times New Roman"/>
                <w:sz w:val="18"/>
                <w:szCs w:val="18"/>
              </w:rPr>
              <w:t>ООО</w:t>
            </w:r>
            <w:r>
              <w:rPr>
                <w:rFonts w:ascii="Times New Roman" w:hAnsi="Times New Roman" w:eastAsia="Calibri" w:cs="Times New Roman"/>
                <w:sz w:val="18"/>
                <w:szCs w:val="18"/>
                <w:lang w:val="en-US"/>
              </w:rPr>
              <w:t xml:space="preserve"> «</w:t>
            </w:r>
            <w:r>
              <w:rPr>
                <w:rFonts w:ascii="Times New Roman" w:hAnsi="Times New Roman" w:eastAsia="Calibri" w:cs="Times New Roman"/>
                <w:sz w:val="18"/>
                <w:szCs w:val="18"/>
              </w:rPr>
              <w:t>РК</w:t>
            </w:r>
            <w:r>
              <w:rPr>
                <w:rFonts w:ascii="Times New Roman" w:hAnsi="Times New Roman" w:eastAsia="Calibri" w:cs="Times New Roman"/>
                <w:sz w:val="18"/>
                <w:szCs w:val="18"/>
                <w:lang w:val="en-US"/>
              </w:rPr>
              <w:t>»</w:t>
            </w:r>
          </w:p>
          <w:p>
            <w:pPr>
              <w:rPr>
                <w:rFonts w:ascii="Times New Roman" w:hAnsi="Times New Roman" w:eastAsia="Calibri" w:cs="Times New Roman"/>
                <w:sz w:val="18"/>
                <w:szCs w:val="18"/>
              </w:rPr>
            </w:pPr>
            <w:r>
              <w:rPr>
                <w:rFonts w:ascii="Times New Roman" w:hAnsi="Times New Roman" w:eastAsia="Calibri" w:cs="Times New Roman"/>
                <w:sz w:val="18"/>
                <w:szCs w:val="18"/>
              </w:rPr>
              <w:t>_______________________________ Т.А. Иванова</w:t>
            </w:r>
          </w:p>
          <w:p>
            <w:pPr>
              <w:rPr>
                <w:rFonts w:ascii="Times New Roman" w:hAnsi="Times New Roman" w:eastAsia="Calibri" w:cs="Times New Roman"/>
                <w:sz w:val="18"/>
                <w:szCs w:val="18"/>
              </w:rPr>
            </w:pPr>
            <w:r>
              <w:rPr>
                <w:rFonts w:ascii="Times New Roman" w:hAnsi="Times New Roman" w:eastAsia="Calibri" w:cs="Times New Roman"/>
                <w:sz w:val="18"/>
                <w:szCs w:val="18"/>
              </w:rPr>
              <w:t>М.П.</w:t>
            </w:r>
          </w:p>
          <w:p>
            <w:pPr>
              <w:rPr>
                <w:sz w:val="18"/>
                <w:szCs w:val="18"/>
              </w:rPr>
            </w:pPr>
          </w:p>
        </w:tc>
        <w:tc>
          <w:tcPr>
            <w:tcW w:w="5154" w:type="dxa"/>
          </w:tcPr>
          <w:p>
            <w:pPr>
              <w:jc w:val="center"/>
              <w:rPr>
                <w:sz w:val="18"/>
                <w:szCs w:val="18"/>
              </w:rPr>
            </w:pPr>
            <w:r>
              <w:rPr>
                <w:b/>
                <w:bCs/>
                <w:sz w:val="18"/>
                <w:szCs w:val="18"/>
              </w:rPr>
              <w:t>Потребитель:</w:t>
            </w:r>
          </w:p>
          <w:p>
            <w:pPr>
              <w:widowControl/>
              <w:tabs>
                <w:tab w:val="center" w:pos="4181"/>
              </w:tabs>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__________</w:t>
            </w:r>
          </w:p>
          <w:p>
            <w:pPr>
              <w:widowControl/>
              <w:tabs>
                <w:tab w:val="center" w:pos="4181"/>
              </w:tabs>
              <w:jc w:val="both"/>
              <w:rPr>
                <w:rFonts w:eastAsia="Times New Roman" w:cs="Times New Roman"/>
                <w:kern w:val="0"/>
                <w:sz w:val="18"/>
                <w:szCs w:val="18"/>
                <w:lang w:eastAsia="en-US" w:bidi="ar-SA"/>
              </w:rPr>
            </w:pPr>
          </w:p>
          <w:p>
            <w:pPr>
              <w:widowControl/>
              <w:tabs>
                <w:tab w:val="center" w:pos="4181"/>
              </w:tabs>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ИНН/КПП ______________________</w:t>
            </w:r>
          </w:p>
          <w:p>
            <w:pPr>
              <w:widowControl/>
              <w:tabs>
                <w:tab w:val="center" w:pos="4181"/>
              </w:tabs>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Юридический адрес:</w:t>
            </w:r>
          </w:p>
          <w:p>
            <w:pPr>
              <w:widowControl/>
              <w:tabs>
                <w:tab w:val="center" w:pos="4181"/>
              </w:tabs>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________________________________</w:t>
            </w:r>
          </w:p>
          <w:p>
            <w:pPr>
              <w:widowControl/>
              <w:tabs>
                <w:tab w:val="center" w:pos="4181"/>
              </w:tabs>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Почтовый адрес:</w:t>
            </w:r>
          </w:p>
          <w:p>
            <w:pPr>
              <w:widowControl/>
              <w:tabs>
                <w:tab w:val="center" w:pos="4181"/>
              </w:tabs>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________________________________</w:t>
            </w:r>
          </w:p>
          <w:p>
            <w:pPr>
              <w:widowControl/>
              <w:tabs>
                <w:tab w:val="center" w:pos="4181"/>
              </w:tabs>
              <w:suppressAutoHyphens w:val="0"/>
              <w:jc w:val="both"/>
              <w:rPr>
                <w:rFonts w:cs="Times New Roman"/>
                <w:sz w:val="18"/>
                <w:szCs w:val="18"/>
              </w:rPr>
            </w:pPr>
            <w:r>
              <w:rPr>
                <w:rFonts w:eastAsia="Times New Roman" w:cs="Times New Roman"/>
                <w:kern w:val="0"/>
                <w:sz w:val="18"/>
                <w:szCs w:val="18"/>
                <w:lang w:eastAsia="en-US" w:bidi="ar-SA"/>
              </w:rPr>
              <w:t xml:space="preserve">Банковские реквизиты: </w:t>
            </w:r>
          </w:p>
          <w:p>
            <w:pPr>
              <w:rPr>
                <w:rFonts w:ascii="Calibri" w:hAnsi="Calibri" w:eastAsia="Calibri"/>
                <w:sz w:val="18"/>
                <w:szCs w:val="18"/>
              </w:rPr>
            </w:pPr>
            <w:r>
              <w:rPr>
                <w:rFonts w:eastAsia="Times New Roman" w:cs="Times New Roman"/>
                <w:kern w:val="0"/>
                <w:sz w:val="18"/>
                <w:szCs w:val="18"/>
                <w:lang w:eastAsia="en-US" w:bidi="ar-SA"/>
              </w:rPr>
              <w:t>________________________________</w:t>
            </w:r>
          </w:p>
          <w:p>
            <w:pPr>
              <w:rPr>
                <w:rFonts w:eastAsia="Times New Roman" w:cs="Times New Roman"/>
                <w:kern w:val="0"/>
                <w:sz w:val="18"/>
                <w:szCs w:val="18"/>
                <w:lang w:eastAsia="en-US" w:bidi="ar-SA"/>
              </w:rPr>
            </w:pPr>
            <w:r>
              <w:rPr>
                <w:rFonts w:eastAsia="Times New Roman" w:cs="Times New Roman"/>
                <w:kern w:val="0"/>
                <w:sz w:val="18"/>
                <w:szCs w:val="18"/>
                <w:lang w:eastAsia="en-US" w:bidi="ar-SA"/>
              </w:rPr>
              <w:t>________________________________</w:t>
            </w:r>
          </w:p>
          <w:p>
            <w:pPr>
              <w:rPr>
                <w:rFonts w:eastAsia="Times New Roman" w:cs="Times New Roman"/>
                <w:kern w:val="0"/>
                <w:sz w:val="18"/>
                <w:szCs w:val="18"/>
                <w:lang w:eastAsia="en-US" w:bidi="ar-SA"/>
              </w:rPr>
            </w:pPr>
            <w:r>
              <w:rPr>
                <w:rFonts w:eastAsia="Times New Roman" w:cs="Times New Roman"/>
                <w:kern w:val="0"/>
                <w:sz w:val="18"/>
                <w:szCs w:val="18"/>
                <w:lang w:eastAsia="en-US" w:bidi="ar-SA"/>
              </w:rPr>
              <w:t>________________________________</w:t>
            </w:r>
          </w:p>
          <w:p>
            <w:pPr>
              <w:rPr>
                <w:rFonts w:cs="Times New Roman"/>
                <w:sz w:val="18"/>
                <w:szCs w:val="18"/>
              </w:rPr>
            </w:pPr>
          </w:p>
          <w:p>
            <w:pPr>
              <w:widowControl/>
              <w:tabs>
                <w:tab w:val="center" w:pos="4181"/>
              </w:tabs>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Тел.: ___________________________</w:t>
            </w:r>
          </w:p>
          <w:p>
            <w:pPr>
              <w:rPr>
                <w:rFonts w:cs="Times New Roman"/>
                <w:sz w:val="18"/>
                <w:szCs w:val="18"/>
              </w:rPr>
            </w:pPr>
            <w:r>
              <w:rPr>
                <w:rFonts w:eastAsia="Times New Roman" w:cs="Times New Roman"/>
                <w:kern w:val="0"/>
                <w:sz w:val="18"/>
                <w:szCs w:val="18"/>
                <w:lang w:eastAsia="en-US" w:bidi="ar-SA"/>
              </w:rPr>
              <w:t>E-mail: _________________________</w:t>
            </w:r>
          </w:p>
          <w:p>
            <w:pPr>
              <w:rPr>
                <w:rFonts w:cs="Times New Roman"/>
                <w:sz w:val="18"/>
                <w:szCs w:val="18"/>
              </w:rPr>
            </w:pPr>
          </w:p>
          <w:p>
            <w:pPr>
              <w:rPr>
                <w:rFonts w:cs="Times New Roman"/>
                <w:sz w:val="18"/>
                <w:szCs w:val="18"/>
              </w:rPr>
            </w:pPr>
          </w:p>
          <w:p>
            <w:pPr>
              <w:rPr>
                <w:rFonts w:cs="Times New Roman"/>
                <w:sz w:val="18"/>
                <w:szCs w:val="18"/>
              </w:rPr>
            </w:pPr>
          </w:p>
          <w:p>
            <w:pPr>
              <w:rPr>
                <w:rFonts w:cs="Times New Roman"/>
                <w:sz w:val="18"/>
                <w:szCs w:val="18"/>
              </w:rPr>
            </w:pPr>
          </w:p>
          <w:p>
            <w:pPr>
              <w:rPr>
                <w:rFonts w:cs="Times New Roman"/>
                <w:sz w:val="18"/>
                <w:szCs w:val="18"/>
              </w:rPr>
            </w:pPr>
          </w:p>
          <w:p>
            <w:pPr>
              <w:rPr>
                <w:rFonts w:cs="Times New Roman"/>
                <w:sz w:val="18"/>
                <w:szCs w:val="18"/>
              </w:rPr>
            </w:pPr>
            <w:r>
              <w:rPr>
                <w:rFonts w:cs="Times New Roman"/>
                <w:sz w:val="18"/>
                <w:szCs w:val="18"/>
              </w:rPr>
              <w:t>_________________________/</w:t>
            </w:r>
            <w:r>
              <w:rPr>
                <w:rFonts w:eastAsia="Times New Roman" w:cs="Times New Roman"/>
                <w:kern w:val="0"/>
                <w:sz w:val="18"/>
                <w:szCs w:val="18"/>
                <w:lang w:eastAsia="en-US" w:bidi="ar-SA"/>
              </w:rPr>
              <w:t xml:space="preserve"> __________/</w:t>
            </w:r>
          </w:p>
          <w:p>
            <w:pPr>
              <w:rPr>
                <w:sz w:val="18"/>
                <w:szCs w:val="18"/>
              </w:rPr>
            </w:pPr>
            <w:r>
              <w:rPr>
                <w:rFonts w:cs="Times New Roman"/>
                <w:sz w:val="18"/>
                <w:szCs w:val="18"/>
              </w:rPr>
              <w:t>М.П.</w:t>
            </w:r>
          </w:p>
        </w:tc>
      </w:tr>
    </w:tbl>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jc w:val="right"/>
        <w:outlineLvl w:val="0"/>
        <w:rPr>
          <w:rFonts w:cs="Times New Roman"/>
          <w:b/>
          <w:sz w:val="20"/>
          <w:szCs w:val="20"/>
        </w:rPr>
      </w:pPr>
      <w:r>
        <w:rPr>
          <w:rFonts w:cs="Times New Roman"/>
          <w:b/>
          <w:sz w:val="20"/>
          <w:szCs w:val="20"/>
        </w:rPr>
        <w:t>Приложение № 1 к Контракту</w:t>
      </w:r>
    </w:p>
    <w:p>
      <w:pPr>
        <w:jc w:val="right"/>
        <w:outlineLvl w:val="0"/>
        <w:rPr>
          <w:rFonts w:cs="Times New Roman"/>
          <w:b/>
          <w:sz w:val="20"/>
          <w:szCs w:val="20"/>
        </w:rPr>
      </w:pPr>
      <w:r>
        <w:rPr>
          <w:rFonts w:cs="Times New Roman"/>
          <w:b/>
          <w:sz w:val="20"/>
          <w:szCs w:val="20"/>
        </w:rPr>
        <w:t>№ _____________ от «___»____________20__ года</w:t>
      </w:r>
    </w:p>
    <w:p>
      <w:pPr>
        <w:ind w:hanging="142"/>
        <w:jc w:val="right"/>
        <w:rPr>
          <w:rFonts w:cs="Times New Roman"/>
          <w:b/>
          <w:sz w:val="20"/>
          <w:szCs w:val="20"/>
        </w:rPr>
      </w:pPr>
      <w:r>
        <w:rPr>
          <w:rFonts w:cs="Times New Roman"/>
          <w:b/>
          <w:sz w:val="20"/>
          <w:szCs w:val="20"/>
        </w:rPr>
        <w:t xml:space="preserve">на оказание услуг по обращению </w:t>
      </w:r>
    </w:p>
    <w:p>
      <w:pPr>
        <w:ind w:hanging="142"/>
        <w:jc w:val="right"/>
        <w:rPr>
          <w:rFonts w:cs="Times New Roman"/>
          <w:b/>
          <w:sz w:val="20"/>
          <w:szCs w:val="20"/>
        </w:rPr>
      </w:pPr>
      <w:r>
        <w:rPr>
          <w:rFonts w:cs="Times New Roman"/>
          <w:b/>
          <w:sz w:val="20"/>
          <w:szCs w:val="20"/>
        </w:rPr>
        <w:t>с твердыми коммунальными отходами</w:t>
      </w:r>
    </w:p>
    <w:p>
      <w:pPr>
        <w:jc w:val="center"/>
        <w:rPr>
          <w:rFonts w:cs="Times New Roman"/>
          <w:sz w:val="20"/>
          <w:szCs w:val="20"/>
        </w:rPr>
      </w:pPr>
    </w:p>
    <w:p>
      <w:pPr>
        <w:jc w:val="center"/>
        <w:rPr>
          <w:rFonts w:cs="Times New Roman"/>
          <w:sz w:val="20"/>
          <w:szCs w:val="20"/>
        </w:rPr>
      </w:pPr>
      <w:r>
        <w:rPr>
          <w:rFonts w:cs="Times New Roman"/>
          <w:sz w:val="20"/>
          <w:szCs w:val="20"/>
        </w:rPr>
        <w:t>Перечень мест расположения контейнерных площадок</w:t>
      </w:r>
      <w:r>
        <w:rPr>
          <w:rFonts w:cs="Times New Roman"/>
        </w:rPr>
        <w:t xml:space="preserve"> </w:t>
      </w:r>
      <w:r>
        <w:rPr>
          <w:rFonts w:cs="Times New Roman"/>
          <w:sz w:val="20"/>
          <w:szCs w:val="20"/>
        </w:rPr>
        <w:t>и график оказания услуг</w:t>
      </w:r>
    </w:p>
    <w:p>
      <w:pPr>
        <w:jc w:val="center"/>
        <w:rPr>
          <w:rFonts w:cs="Times New Roman"/>
          <w:sz w:val="20"/>
          <w:szCs w:val="20"/>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
        <w:gridCol w:w="897"/>
        <w:gridCol w:w="1368"/>
        <w:gridCol w:w="1317"/>
        <w:gridCol w:w="1021"/>
        <w:gridCol w:w="1331"/>
        <w:gridCol w:w="1384"/>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tcPr>
          <w:p>
            <w:pPr>
              <w:jc w:val="center"/>
              <w:rPr>
                <w:rFonts w:cs="Times New Roman"/>
                <w:b/>
                <w:kern w:val="20"/>
                <w:sz w:val="18"/>
                <w:szCs w:val="18"/>
              </w:rPr>
            </w:pPr>
            <w:r>
              <w:rPr>
                <w:rFonts w:cs="Times New Roman"/>
                <w:b/>
                <w:kern w:val="20"/>
                <w:sz w:val="18"/>
                <w:szCs w:val="18"/>
              </w:rPr>
              <w:t>Период с</w:t>
            </w:r>
          </w:p>
        </w:tc>
        <w:tc>
          <w:tcPr>
            <w:tcW w:w="455" w:type="pct"/>
          </w:tcPr>
          <w:p>
            <w:pPr>
              <w:jc w:val="center"/>
              <w:rPr>
                <w:rFonts w:cs="Times New Roman"/>
                <w:b/>
                <w:kern w:val="20"/>
                <w:sz w:val="18"/>
                <w:szCs w:val="18"/>
              </w:rPr>
            </w:pPr>
            <w:r>
              <w:rPr>
                <w:rFonts w:cs="Times New Roman"/>
                <w:b/>
                <w:kern w:val="20"/>
                <w:sz w:val="18"/>
                <w:szCs w:val="18"/>
              </w:rPr>
              <w:t>Период по</w:t>
            </w:r>
          </w:p>
        </w:tc>
        <w:tc>
          <w:tcPr>
            <w:tcW w:w="694" w:type="pct"/>
          </w:tcPr>
          <w:p>
            <w:pPr>
              <w:jc w:val="center"/>
              <w:rPr>
                <w:rFonts w:cs="Times New Roman"/>
                <w:b/>
                <w:kern w:val="20"/>
                <w:sz w:val="18"/>
                <w:szCs w:val="18"/>
              </w:rPr>
            </w:pPr>
            <w:r>
              <w:rPr>
                <w:rFonts w:cs="Times New Roman"/>
                <w:b/>
                <w:kern w:val="20"/>
                <w:sz w:val="18"/>
                <w:szCs w:val="18"/>
              </w:rPr>
              <w:t>Адрес места образования ТКО</w:t>
            </w:r>
          </w:p>
        </w:tc>
        <w:tc>
          <w:tcPr>
            <w:tcW w:w="668" w:type="pct"/>
          </w:tcPr>
          <w:p>
            <w:pPr>
              <w:jc w:val="center"/>
              <w:rPr>
                <w:rFonts w:cs="Times New Roman"/>
                <w:b/>
                <w:kern w:val="20"/>
                <w:sz w:val="18"/>
                <w:szCs w:val="18"/>
              </w:rPr>
            </w:pPr>
            <w:r>
              <w:rPr>
                <w:rFonts w:cs="Times New Roman"/>
                <w:b/>
                <w:kern w:val="20"/>
                <w:sz w:val="18"/>
                <w:szCs w:val="18"/>
              </w:rPr>
              <w:t>Адрес места накопления ТКО</w:t>
            </w:r>
          </w:p>
        </w:tc>
        <w:tc>
          <w:tcPr>
            <w:tcW w:w="518" w:type="pct"/>
          </w:tcPr>
          <w:p>
            <w:pPr>
              <w:jc w:val="center"/>
              <w:rPr>
                <w:rFonts w:cs="Times New Roman"/>
                <w:b/>
                <w:kern w:val="20"/>
                <w:sz w:val="18"/>
                <w:szCs w:val="18"/>
              </w:rPr>
            </w:pPr>
            <w:r>
              <w:rPr>
                <w:rFonts w:cs="Times New Roman"/>
                <w:b/>
                <w:kern w:val="20"/>
                <w:sz w:val="18"/>
                <w:szCs w:val="18"/>
              </w:rPr>
              <w:t>Тип загрузки</w:t>
            </w:r>
          </w:p>
        </w:tc>
        <w:tc>
          <w:tcPr>
            <w:tcW w:w="675" w:type="pct"/>
          </w:tcPr>
          <w:p>
            <w:pPr>
              <w:jc w:val="center"/>
              <w:rPr>
                <w:rFonts w:cs="Times New Roman"/>
                <w:b/>
                <w:kern w:val="20"/>
                <w:sz w:val="18"/>
                <w:szCs w:val="18"/>
              </w:rPr>
            </w:pPr>
            <w:r>
              <w:rPr>
                <w:rFonts w:cs="Times New Roman"/>
                <w:b/>
                <w:kern w:val="20"/>
                <w:sz w:val="18"/>
                <w:szCs w:val="18"/>
              </w:rPr>
              <w:t>Объем контейнера, м3</w:t>
            </w:r>
          </w:p>
        </w:tc>
        <w:tc>
          <w:tcPr>
            <w:tcW w:w="702" w:type="pct"/>
          </w:tcPr>
          <w:p>
            <w:pPr>
              <w:jc w:val="center"/>
              <w:rPr>
                <w:rFonts w:cs="Times New Roman"/>
                <w:b/>
                <w:kern w:val="20"/>
                <w:sz w:val="18"/>
                <w:szCs w:val="18"/>
              </w:rPr>
            </w:pPr>
            <w:r>
              <w:rPr>
                <w:rFonts w:cs="Times New Roman"/>
                <w:b/>
                <w:kern w:val="20"/>
                <w:sz w:val="18"/>
                <w:szCs w:val="18"/>
              </w:rPr>
              <w:t>Количество контейнеров, шт</w:t>
            </w:r>
          </w:p>
        </w:tc>
        <w:tc>
          <w:tcPr>
            <w:tcW w:w="832" w:type="pct"/>
          </w:tcPr>
          <w:p>
            <w:pPr>
              <w:jc w:val="center"/>
              <w:rPr>
                <w:rFonts w:cs="Times New Roman"/>
                <w:b/>
                <w:kern w:val="20"/>
                <w:sz w:val="18"/>
                <w:szCs w:val="18"/>
              </w:rPr>
            </w:pPr>
            <w:r>
              <w:rPr>
                <w:rFonts w:cs="Times New Roman"/>
                <w:b/>
                <w:kern w:val="20"/>
                <w:sz w:val="18"/>
                <w:szCs w:val="18"/>
              </w:rPr>
              <w:t>Периодичность вывоза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tcPr>
          <w:p>
            <w:pPr>
              <w:rPr>
                <w:rFonts w:cs="Times New Roman"/>
                <w:kern w:val="20"/>
                <w:sz w:val="20"/>
                <w:szCs w:val="20"/>
              </w:rPr>
            </w:pPr>
          </w:p>
        </w:tc>
        <w:tc>
          <w:tcPr>
            <w:tcW w:w="455" w:type="pct"/>
          </w:tcPr>
          <w:p>
            <w:pPr>
              <w:rPr>
                <w:rFonts w:cs="Times New Roman"/>
                <w:kern w:val="20"/>
                <w:sz w:val="20"/>
                <w:szCs w:val="20"/>
              </w:rPr>
            </w:pPr>
          </w:p>
        </w:tc>
        <w:tc>
          <w:tcPr>
            <w:tcW w:w="694" w:type="pct"/>
          </w:tcPr>
          <w:p>
            <w:pPr>
              <w:rPr>
                <w:rFonts w:cs="Times New Roman"/>
                <w:kern w:val="20"/>
                <w:sz w:val="20"/>
                <w:szCs w:val="20"/>
              </w:rPr>
            </w:pPr>
          </w:p>
        </w:tc>
        <w:tc>
          <w:tcPr>
            <w:tcW w:w="668" w:type="pct"/>
          </w:tcPr>
          <w:p>
            <w:pPr>
              <w:rPr>
                <w:rFonts w:cs="Times New Roman"/>
                <w:kern w:val="20"/>
                <w:sz w:val="20"/>
                <w:szCs w:val="20"/>
              </w:rPr>
            </w:pPr>
          </w:p>
        </w:tc>
        <w:tc>
          <w:tcPr>
            <w:tcW w:w="518" w:type="pct"/>
          </w:tcPr>
          <w:p>
            <w:pPr>
              <w:rPr>
                <w:rFonts w:cs="Times New Roman"/>
                <w:kern w:val="20"/>
                <w:sz w:val="20"/>
                <w:szCs w:val="20"/>
              </w:rPr>
            </w:pPr>
          </w:p>
        </w:tc>
        <w:tc>
          <w:tcPr>
            <w:tcW w:w="675" w:type="pct"/>
          </w:tcPr>
          <w:p>
            <w:pPr>
              <w:rPr>
                <w:rFonts w:cs="Times New Roman"/>
                <w:kern w:val="20"/>
                <w:sz w:val="20"/>
                <w:szCs w:val="20"/>
              </w:rPr>
            </w:pPr>
          </w:p>
        </w:tc>
        <w:tc>
          <w:tcPr>
            <w:tcW w:w="702" w:type="pct"/>
          </w:tcPr>
          <w:p>
            <w:pPr>
              <w:rPr>
                <w:rFonts w:cs="Times New Roman"/>
                <w:kern w:val="20"/>
                <w:sz w:val="20"/>
                <w:szCs w:val="20"/>
              </w:rPr>
            </w:pPr>
          </w:p>
        </w:tc>
        <w:tc>
          <w:tcPr>
            <w:tcW w:w="832" w:type="pct"/>
          </w:tcPr>
          <w:p>
            <w:pPr>
              <w:rPr>
                <w:rFonts w:cs="Times New Roman"/>
                <w:kern w:val="20"/>
                <w:sz w:val="20"/>
                <w:szCs w:val="20"/>
              </w:rPr>
            </w:pPr>
          </w:p>
        </w:tc>
      </w:tr>
    </w:tbl>
    <w:p>
      <w:pPr>
        <w:jc w:val="center"/>
        <w:rPr>
          <w:rFonts w:cs="Times New Roman"/>
          <w:sz w:val="20"/>
          <w:szCs w:val="20"/>
        </w:rPr>
      </w:pPr>
    </w:p>
    <w:p>
      <w:pPr>
        <w:jc w:val="center"/>
        <w:rPr>
          <w:rFonts w:cs="Times New Roman"/>
          <w:sz w:val="20"/>
          <w:szCs w:val="20"/>
        </w:rPr>
      </w:pPr>
    </w:p>
    <w:p>
      <w:pPr>
        <w:jc w:val="center"/>
        <w:rPr>
          <w:rFonts w:cs="Times New Roman"/>
          <w:sz w:val="20"/>
          <w:szCs w:val="20"/>
        </w:rPr>
      </w:pPr>
    </w:p>
    <w:tbl>
      <w:tblPr>
        <w:tblStyle w:val="3"/>
        <w:tblW w:w="0" w:type="auto"/>
        <w:tblInd w:w="0" w:type="dxa"/>
        <w:tblLayout w:type="autofit"/>
        <w:tblCellMar>
          <w:top w:w="0" w:type="dxa"/>
          <w:left w:w="108" w:type="dxa"/>
          <w:bottom w:w="0" w:type="dxa"/>
          <w:right w:w="108" w:type="dxa"/>
        </w:tblCellMar>
      </w:tblPr>
      <w:tblGrid>
        <w:gridCol w:w="4899"/>
        <w:gridCol w:w="4955"/>
      </w:tblGrid>
      <w:tr>
        <w:tblPrEx>
          <w:tblCellMar>
            <w:top w:w="0" w:type="dxa"/>
            <w:left w:w="108" w:type="dxa"/>
            <w:bottom w:w="0" w:type="dxa"/>
            <w:right w:w="108" w:type="dxa"/>
          </w:tblCellMar>
        </w:tblPrEx>
        <w:tc>
          <w:tcPr>
            <w:tcW w:w="5103" w:type="dxa"/>
            <w:shd w:val="clear" w:color="auto" w:fill="auto"/>
          </w:tcPr>
          <w:p>
            <w:pPr>
              <w:rPr>
                <w:rFonts w:cs="Times New Roman"/>
                <w:sz w:val="20"/>
                <w:szCs w:val="20"/>
              </w:rPr>
            </w:pPr>
            <w:r>
              <w:rPr>
                <w:rFonts w:cs="Times New Roman"/>
                <w:sz w:val="20"/>
                <w:szCs w:val="20"/>
              </w:rPr>
              <w:t>Региональный оператор:</w:t>
            </w:r>
          </w:p>
          <w:p>
            <w:pPr>
              <w:rPr>
                <w:rFonts w:cs="Times New Roman"/>
                <w:sz w:val="20"/>
                <w:szCs w:val="20"/>
              </w:rPr>
            </w:pPr>
            <w:r>
              <w:rPr>
                <w:rFonts w:cs="Times New Roman"/>
                <w:sz w:val="20"/>
                <w:szCs w:val="20"/>
              </w:rPr>
              <w:t>Директор ООО «РК»</w:t>
            </w:r>
          </w:p>
        </w:tc>
        <w:tc>
          <w:tcPr>
            <w:tcW w:w="5102" w:type="dxa"/>
            <w:shd w:val="clear" w:color="auto" w:fill="auto"/>
          </w:tcPr>
          <w:p>
            <w:pPr>
              <w:rPr>
                <w:rFonts w:cs="Times New Roman"/>
                <w:sz w:val="20"/>
                <w:szCs w:val="20"/>
              </w:rPr>
            </w:pPr>
            <w:r>
              <w:rPr>
                <w:rFonts w:cs="Times New Roman"/>
                <w:sz w:val="20"/>
                <w:szCs w:val="20"/>
              </w:rPr>
              <w:t>Потребитель:</w:t>
            </w:r>
          </w:p>
          <w:p>
            <w:pPr>
              <w:rPr>
                <w:rFonts w:cs="Times New Roman"/>
                <w:sz w:val="20"/>
                <w:szCs w:val="20"/>
              </w:rPr>
            </w:pPr>
            <w:r>
              <w:rPr>
                <w:rFonts w:cs="Times New Roman"/>
                <w:sz w:val="20"/>
                <w:szCs w:val="20"/>
              </w:rPr>
              <w:t>___________________________</w:t>
            </w:r>
          </w:p>
          <w:p>
            <w:pPr>
              <w:rPr>
                <w:rFonts w:cs="Times New Roman"/>
                <w:sz w:val="20"/>
                <w:szCs w:val="20"/>
              </w:rPr>
            </w:pPr>
          </w:p>
          <w:p>
            <w:pPr>
              <w:rPr>
                <w:rFonts w:cs="Times New Roman"/>
                <w:sz w:val="20"/>
                <w:szCs w:val="20"/>
              </w:rPr>
            </w:pPr>
          </w:p>
        </w:tc>
      </w:tr>
      <w:tr>
        <w:tblPrEx>
          <w:tblCellMar>
            <w:top w:w="0" w:type="dxa"/>
            <w:left w:w="108" w:type="dxa"/>
            <w:bottom w:w="0" w:type="dxa"/>
            <w:right w:w="108" w:type="dxa"/>
          </w:tblCellMar>
        </w:tblPrEx>
        <w:tc>
          <w:tcPr>
            <w:tcW w:w="5103" w:type="dxa"/>
            <w:shd w:val="clear" w:color="auto" w:fill="auto"/>
          </w:tcPr>
          <w:p>
            <w:pPr>
              <w:rPr>
                <w:rFonts w:cs="Times New Roman"/>
                <w:sz w:val="20"/>
                <w:szCs w:val="20"/>
              </w:rPr>
            </w:pPr>
            <w:r>
              <w:rPr>
                <w:rFonts w:cs="Times New Roman"/>
                <w:sz w:val="20"/>
                <w:szCs w:val="20"/>
              </w:rPr>
              <w:t>__________________/ Т.А. Иванова</w:t>
            </w:r>
          </w:p>
          <w:p>
            <w:pPr>
              <w:rPr>
                <w:rFonts w:cs="Times New Roman"/>
                <w:sz w:val="20"/>
                <w:szCs w:val="20"/>
              </w:rPr>
            </w:pPr>
            <w:r>
              <w:rPr>
                <w:rFonts w:cs="Times New Roman"/>
                <w:sz w:val="20"/>
                <w:szCs w:val="20"/>
              </w:rPr>
              <w:t>М.П.</w:t>
            </w:r>
          </w:p>
        </w:tc>
        <w:tc>
          <w:tcPr>
            <w:tcW w:w="5102" w:type="dxa"/>
            <w:shd w:val="clear" w:color="auto" w:fill="auto"/>
          </w:tcPr>
          <w:p>
            <w:pPr>
              <w:rPr>
                <w:rFonts w:cs="Times New Roman"/>
                <w:sz w:val="20"/>
                <w:szCs w:val="20"/>
              </w:rPr>
            </w:pPr>
            <w:r>
              <w:rPr>
                <w:rFonts w:cs="Times New Roman"/>
                <w:sz w:val="20"/>
                <w:szCs w:val="20"/>
              </w:rPr>
              <w:t>__________________ / _____________</w:t>
            </w:r>
          </w:p>
          <w:p>
            <w:pPr>
              <w:rPr>
                <w:rFonts w:cs="Times New Roman"/>
                <w:sz w:val="20"/>
                <w:szCs w:val="20"/>
              </w:rPr>
            </w:pPr>
            <w:r>
              <w:rPr>
                <w:rFonts w:cs="Times New Roman"/>
                <w:sz w:val="20"/>
                <w:szCs w:val="20"/>
              </w:rPr>
              <w:t>М.П.</w:t>
            </w:r>
          </w:p>
        </w:tc>
      </w:tr>
      <w:tr>
        <w:tblPrEx>
          <w:tblCellMar>
            <w:top w:w="0" w:type="dxa"/>
            <w:left w:w="108" w:type="dxa"/>
            <w:bottom w:w="0" w:type="dxa"/>
            <w:right w:w="108" w:type="dxa"/>
          </w:tblCellMar>
        </w:tblPrEx>
        <w:tc>
          <w:tcPr>
            <w:tcW w:w="5103" w:type="dxa"/>
            <w:shd w:val="clear" w:color="auto" w:fill="auto"/>
          </w:tcPr>
          <w:p>
            <w:pPr>
              <w:rPr>
                <w:rFonts w:cs="Times New Roman"/>
                <w:sz w:val="20"/>
                <w:szCs w:val="20"/>
              </w:rPr>
            </w:pPr>
          </w:p>
        </w:tc>
        <w:tc>
          <w:tcPr>
            <w:tcW w:w="5102" w:type="dxa"/>
            <w:shd w:val="clear" w:color="auto" w:fill="auto"/>
          </w:tcPr>
          <w:p>
            <w:pPr>
              <w:rPr>
                <w:rFonts w:cs="Times New Roman"/>
                <w:sz w:val="20"/>
                <w:szCs w:val="20"/>
              </w:rPr>
            </w:pPr>
          </w:p>
        </w:tc>
      </w:tr>
    </w:tbl>
    <w:p>
      <w:pPr>
        <w:jc w:val="right"/>
        <w:outlineLvl w:val="0"/>
        <w:rPr>
          <w:rFonts w:cs="Times New Roman"/>
          <w:b/>
          <w:sz w:val="20"/>
          <w:szCs w:val="20"/>
        </w:rPr>
      </w:pPr>
    </w:p>
    <w:p>
      <w:pPr>
        <w:jc w:val="right"/>
        <w:outlineLvl w:val="0"/>
        <w:rPr>
          <w:rFonts w:cs="Times New Roman"/>
          <w:b/>
          <w:sz w:val="20"/>
          <w:szCs w:val="20"/>
        </w:rPr>
      </w:pPr>
    </w:p>
    <w:p>
      <w:pPr>
        <w:jc w:val="right"/>
        <w:outlineLvl w:val="0"/>
        <w:rPr>
          <w:rFonts w:cs="Times New Roman"/>
          <w:b/>
          <w:sz w:val="20"/>
          <w:szCs w:val="20"/>
        </w:rPr>
      </w:pPr>
    </w:p>
    <w:tbl>
      <w:tblPr>
        <w:tblStyle w:val="3"/>
        <w:tblW w:w="0" w:type="auto"/>
        <w:tblInd w:w="0" w:type="dxa"/>
        <w:tblLayout w:type="autofit"/>
        <w:tblCellMar>
          <w:top w:w="0" w:type="dxa"/>
          <w:left w:w="108" w:type="dxa"/>
          <w:bottom w:w="0" w:type="dxa"/>
          <w:right w:w="108" w:type="dxa"/>
        </w:tblCellMar>
      </w:tblPr>
      <w:tblGrid>
        <w:gridCol w:w="4927"/>
        <w:gridCol w:w="4927"/>
      </w:tblGrid>
      <w:tr>
        <w:tblPrEx>
          <w:tblCellMar>
            <w:top w:w="0" w:type="dxa"/>
            <w:left w:w="108" w:type="dxa"/>
            <w:bottom w:w="0" w:type="dxa"/>
            <w:right w:w="108" w:type="dxa"/>
          </w:tblCellMar>
        </w:tblPrEx>
        <w:tc>
          <w:tcPr>
            <w:tcW w:w="5103" w:type="dxa"/>
            <w:shd w:val="clear" w:color="auto" w:fill="auto"/>
          </w:tcPr>
          <w:p>
            <w:pPr>
              <w:widowControl/>
              <w:suppressAutoHyphens w:val="0"/>
              <w:rPr>
                <w:rFonts w:cs="Times New Roman"/>
                <w:sz w:val="20"/>
                <w:szCs w:val="20"/>
              </w:rPr>
            </w:pPr>
          </w:p>
        </w:tc>
        <w:tc>
          <w:tcPr>
            <w:tcW w:w="5102" w:type="dxa"/>
            <w:shd w:val="clear" w:color="auto" w:fill="auto"/>
          </w:tcPr>
          <w:p>
            <w:pPr>
              <w:rPr>
                <w:rFonts w:cs="Times New Roman"/>
                <w:sz w:val="20"/>
                <w:szCs w:val="20"/>
              </w:rPr>
            </w:pPr>
          </w:p>
        </w:tc>
      </w:tr>
    </w:tbl>
    <w:p>
      <w:pPr>
        <w:widowControl/>
        <w:suppressAutoHyphens w:val="0"/>
        <w:jc w:val="right"/>
        <w:rPr>
          <w:rFonts w:eastAsia="Calibri" w:cs="Times New Roman"/>
          <w:b/>
          <w:kern w:val="0"/>
          <w:sz w:val="20"/>
          <w:szCs w:val="20"/>
          <w:lang w:eastAsia="en-US" w:bidi="ar-SA"/>
        </w:rPr>
      </w:pPr>
    </w:p>
    <w:p>
      <w:pPr>
        <w:widowControl/>
        <w:suppressAutoHyphens w:val="0"/>
        <w:rPr>
          <w:rFonts w:eastAsia="Calibri" w:cs="Times New Roman"/>
          <w:b/>
          <w:kern w:val="0"/>
          <w:sz w:val="20"/>
          <w:szCs w:val="20"/>
          <w:lang w:eastAsia="en-US" w:bidi="ar-SA"/>
        </w:rPr>
      </w:pPr>
      <w:r>
        <w:rPr>
          <w:rFonts w:eastAsia="Calibri" w:cs="Times New Roman"/>
          <w:b/>
          <w:kern w:val="0"/>
          <w:sz w:val="20"/>
          <w:szCs w:val="20"/>
          <w:lang w:eastAsia="en-US" w:bidi="ar-SA"/>
        </w:rPr>
        <w:br w:type="page"/>
      </w:r>
    </w:p>
    <w:p>
      <w:pPr>
        <w:widowControl/>
        <w:suppressAutoHyphens w:val="0"/>
        <w:jc w:val="right"/>
        <w:rPr>
          <w:rFonts w:eastAsia="Calibri" w:cs="Times New Roman"/>
          <w:b/>
          <w:kern w:val="0"/>
          <w:sz w:val="20"/>
          <w:szCs w:val="20"/>
          <w:lang w:eastAsia="en-US" w:bidi="ar-SA"/>
        </w:rPr>
      </w:pPr>
      <w:r>
        <w:rPr>
          <w:rFonts w:eastAsia="Calibri" w:cs="Times New Roman"/>
          <w:b/>
          <w:kern w:val="0"/>
          <w:sz w:val="20"/>
          <w:szCs w:val="20"/>
          <w:lang w:eastAsia="en-US" w:bidi="ar-SA"/>
        </w:rPr>
        <w:t xml:space="preserve">Приложение № 2 к </w:t>
      </w:r>
      <w:r>
        <w:rPr>
          <w:rFonts w:cs="Times New Roman"/>
          <w:b/>
          <w:sz w:val="20"/>
          <w:szCs w:val="20"/>
        </w:rPr>
        <w:t>Контракту</w:t>
      </w:r>
    </w:p>
    <w:p>
      <w:pPr>
        <w:jc w:val="right"/>
        <w:outlineLvl w:val="0"/>
        <w:rPr>
          <w:rFonts w:cs="Times New Roman"/>
          <w:b/>
          <w:sz w:val="20"/>
          <w:szCs w:val="20"/>
        </w:rPr>
      </w:pPr>
      <w:r>
        <w:rPr>
          <w:rFonts w:cs="Times New Roman"/>
          <w:b/>
          <w:sz w:val="20"/>
          <w:szCs w:val="20"/>
        </w:rPr>
        <w:t>№ _____________ от «___»____________20__ года</w:t>
      </w:r>
    </w:p>
    <w:p>
      <w:pPr>
        <w:ind w:hanging="142"/>
        <w:jc w:val="right"/>
        <w:rPr>
          <w:rFonts w:cs="Times New Roman"/>
          <w:b/>
          <w:sz w:val="20"/>
          <w:szCs w:val="20"/>
        </w:rPr>
      </w:pPr>
      <w:r>
        <w:rPr>
          <w:rFonts w:cs="Times New Roman"/>
          <w:b/>
          <w:sz w:val="20"/>
          <w:szCs w:val="20"/>
        </w:rPr>
        <w:t xml:space="preserve">на оказание услуг по обращению </w:t>
      </w:r>
    </w:p>
    <w:p>
      <w:pPr>
        <w:ind w:hanging="142"/>
        <w:jc w:val="right"/>
        <w:rPr>
          <w:rFonts w:cs="Times New Roman"/>
          <w:b/>
          <w:sz w:val="20"/>
          <w:szCs w:val="20"/>
        </w:rPr>
      </w:pPr>
      <w:r>
        <w:rPr>
          <w:rFonts w:cs="Times New Roman"/>
          <w:b/>
          <w:sz w:val="20"/>
          <w:szCs w:val="20"/>
        </w:rPr>
        <w:t>с твердыми коммунальными отходами</w:t>
      </w:r>
    </w:p>
    <w:p>
      <w:pPr>
        <w:widowControl/>
        <w:suppressAutoHyphens w:val="0"/>
        <w:jc w:val="right"/>
        <w:rPr>
          <w:rFonts w:eastAsia="Calibri" w:cs="Times New Roman"/>
          <w:b/>
          <w:kern w:val="0"/>
          <w:sz w:val="20"/>
          <w:szCs w:val="20"/>
          <w:lang w:eastAsia="en-US" w:bidi="ar-SA"/>
        </w:rPr>
      </w:pPr>
      <w:r>
        <w:rPr>
          <w:rFonts w:eastAsia="Calibri" w:cs="Times New Roman"/>
          <w:b/>
          <w:kern w:val="0"/>
          <w:sz w:val="20"/>
          <w:szCs w:val="20"/>
          <w:lang w:eastAsia="en-US" w:bidi="ar-SA"/>
        </w:rPr>
        <w:t xml:space="preserve"> </w:t>
      </w:r>
    </w:p>
    <w:p>
      <w:pPr>
        <w:widowControl/>
        <w:suppressAutoHyphens w:val="0"/>
        <w:jc w:val="right"/>
        <w:rPr>
          <w:rFonts w:eastAsia="Calibri" w:cs="Times New Roman"/>
          <w:b/>
          <w:kern w:val="0"/>
          <w:sz w:val="20"/>
          <w:szCs w:val="20"/>
          <w:lang w:eastAsia="en-US" w:bidi="ar-SA"/>
        </w:rPr>
      </w:pPr>
    </w:p>
    <w:p>
      <w:pPr>
        <w:widowControl/>
        <w:suppressAutoHyphens w:val="0"/>
        <w:jc w:val="center"/>
        <w:rPr>
          <w:rFonts w:eastAsia="Calibri" w:cs="Times New Roman"/>
          <w:kern w:val="0"/>
          <w:sz w:val="20"/>
          <w:szCs w:val="20"/>
          <w:lang w:eastAsia="en-US" w:bidi="ar-SA"/>
        </w:rPr>
      </w:pPr>
    </w:p>
    <w:p>
      <w:pPr>
        <w:widowControl/>
        <w:suppressAutoHyphens w:val="0"/>
        <w:jc w:val="center"/>
        <w:rPr>
          <w:rFonts w:eastAsia="Calibri" w:cs="Times New Roman"/>
          <w:kern w:val="0"/>
          <w:sz w:val="20"/>
          <w:szCs w:val="20"/>
          <w:lang w:eastAsia="en-US" w:bidi="ar-SA"/>
        </w:rPr>
      </w:pPr>
    </w:p>
    <w:p>
      <w:pPr>
        <w:widowControl/>
        <w:suppressAutoHyphens w:val="0"/>
        <w:jc w:val="center"/>
        <w:rPr>
          <w:rFonts w:eastAsia="Calibri" w:cs="Times New Roman"/>
          <w:kern w:val="0"/>
          <w:sz w:val="20"/>
          <w:szCs w:val="20"/>
          <w:lang w:eastAsia="en-US" w:bidi="ar-SA"/>
        </w:rPr>
      </w:pPr>
      <w:r>
        <w:rPr>
          <w:rFonts w:eastAsia="Calibri" w:cs="Times New Roman"/>
          <w:kern w:val="0"/>
          <w:sz w:val="20"/>
          <w:szCs w:val="20"/>
          <w:lang w:eastAsia="en-US" w:bidi="ar-SA"/>
        </w:rPr>
        <w:t>Перечень твердых коммунальных отходов Потребителя</w:t>
      </w:r>
    </w:p>
    <w:p>
      <w:pPr>
        <w:widowControl/>
        <w:suppressAutoHyphens w:val="0"/>
        <w:jc w:val="center"/>
        <w:rPr>
          <w:rFonts w:eastAsia="Calibri" w:cs="Times New Roman"/>
          <w:kern w:val="0"/>
          <w:sz w:val="20"/>
          <w:szCs w:val="20"/>
          <w:lang w:eastAsia="en-US" w:bidi="ar-SA"/>
        </w:rPr>
      </w:pPr>
    </w:p>
    <w:tbl>
      <w:tblPr>
        <w:tblStyle w:val="12"/>
        <w:tblW w:w="494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7"/>
        <w:gridCol w:w="1827"/>
        <w:gridCol w:w="2491"/>
        <w:gridCol w:w="1761"/>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pct"/>
          </w:tcPr>
          <w:p>
            <w:pPr>
              <w:widowControl/>
              <w:suppressAutoHyphens w:val="0"/>
              <w:rPr>
                <w:rFonts w:eastAsia="Calibri" w:cs="Times New Roman"/>
                <w:b/>
                <w:kern w:val="0"/>
                <w:sz w:val="20"/>
                <w:szCs w:val="20"/>
                <w:lang w:eastAsia="en-US" w:bidi="ar-SA"/>
              </w:rPr>
            </w:pPr>
            <w:r>
              <w:rPr>
                <w:rFonts w:eastAsia="Calibri" w:cs="Times New Roman"/>
                <w:b/>
                <w:kern w:val="0"/>
                <w:sz w:val="20"/>
                <w:szCs w:val="20"/>
                <w:lang w:eastAsia="en-US" w:bidi="ar-SA"/>
              </w:rPr>
              <w:t>Наименование отходов в соответствии с ФККО</w:t>
            </w:r>
          </w:p>
        </w:tc>
        <w:tc>
          <w:tcPr>
            <w:tcW w:w="938" w:type="pct"/>
          </w:tcPr>
          <w:p>
            <w:pPr>
              <w:widowControl/>
              <w:suppressAutoHyphens w:val="0"/>
              <w:rPr>
                <w:rFonts w:eastAsia="Calibri" w:cs="Times New Roman"/>
                <w:b/>
                <w:kern w:val="0"/>
                <w:sz w:val="20"/>
                <w:szCs w:val="20"/>
                <w:lang w:eastAsia="en-US" w:bidi="ar-SA"/>
              </w:rPr>
            </w:pPr>
            <w:r>
              <w:rPr>
                <w:rFonts w:eastAsia="Calibri" w:cs="Times New Roman"/>
                <w:b/>
                <w:kern w:val="0"/>
                <w:sz w:val="20"/>
                <w:szCs w:val="20"/>
                <w:lang w:eastAsia="en-US" w:bidi="ar-SA"/>
              </w:rPr>
              <w:t>Код по ФККО</w:t>
            </w:r>
          </w:p>
        </w:tc>
        <w:tc>
          <w:tcPr>
            <w:tcW w:w="1279" w:type="pct"/>
          </w:tcPr>
          <w:p>
            <w:pPr>
              <w:widowControl/>
              <w:suppressAutoHyphens w:val="0"/>
              <w:rPr>
                <w:rFonts w:eastAsia="Calibri" w:cs="Times New Roman"/>
                <w:b/>
                <w:kern w:val="0"/>
                <w:sz w:val="20"/>
                <w:szCs w:val="20"/>
                <w:lang w:eastAsia="en-US" w:bidi="ar-SA"/>
              </w:rPr>
            </w:pPr>
            <w:r>
              <w:rPr>
                <w:rFonts w:eastAsia="Calibri" w:cs="Times New Roman"/>
                <w:b/>
                <w:kern w:val="0"/>
                <w:sz w:val="20"/>
                <w:szCs w:val="20"/>
                <w:lang w:eastAsia="en-US" w:bidi="ar-SA"/>
              </w:rPr>
              <w:t>Класс опасности</w:t>
            </w:r>
          </w:p>
        </w:tc>
        <w:tc>
          <w:tcPr>
            <w:tcW w:w="904" w:type="pct"/>
          </w:tcPr>
          <w:p>
            <w:pPr>
              <w:widowControl/>
              <w:suppressAutoHyphens w:val="0"/>
              <w:rPr>
                <w:rFonts w:eastAsia="Calibri" w:cs="Times New Roman"/>
                <w:b/>
                <w:kern w:val="0"/>
                <w:sz w:val="20"/>
                <w:szCs w:val="20"/>
                <w:lang w:eastAsia="en-US" w:bidi="ar-SA"/>
              </w:rPr>
            </w:pPr>
            <w:r>
              <w:rPr>
                <w:rFonts w:eastAsia="Calibri" w:cs="Times New Roman"/>
                <w:b/>
                <w:kern w:val="0"/>
                <w:sz w:val="20"/>
                <w:szCs w:val="20"/>
                <w:lang w:eastAsia="en-US" w:bidi="ar-SA"/>
              </w:rPr>
              <w:t>Масса в месяц, тонн</w:t>
            </w:r>
          </w:p>
        </w:tc>
        <w:tc>
          <w:tcPr>
            <w:tcW w:w="904" w:type="pct"/>
          </w:tcPr>
          <w:p>
            <w:pPr>
              <w:widowControl/>
              <w:suppressAutoHyphens w:val="0"/>
              <w:rPr>
                <w:rFonts w:eastAsia="Calibri" w:cs="Times New Roman"/>
                <w:b/>
                <w:kern w:val="0"/>
                <w:sz w:val="20"/>
                <w:szCs w:val="20"/>
                <w:lang w:eastAsia="en-US" w:bidi="ar-SA"/>
              </w:rPr>
            </w:pPr>
            <w:r>
              <w:rPr>
                <w:rFonts w:eastAsia="Calibri" w:cs="Times New Roman"/>
                <w:b/>
                <w:kern w:val="0"/>
                <w:sz w:val="20"/>
                <w:szCs w:val="20"/>
                <w:lang w:eastAsia="en-US" w:bidi="ar-SA"/>
              </w:rPr>
              <w:t>Объем в месяц, м3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pct"/>
          </w:tcPr>
          <w:p>
            <w:pPr>
              <w:widowControl/>
              <w:suppressAutoHyphens w:val="0"/>
              <w:rPr>
                <w:rFonts w:eastAsia="Calibri" w:cs="Times New Roman"/>
                <w:kern w:val="0"/>
                <w:sz w:val="20"/>
                <w:szCs w:val="20"/>
                <w:lang w:eastAsia="en-US" w:bidi="ar-SA"/>
              </w:rPr>
            </w:pPr>
          </w:p>
        </w:tc>
        <w:tc>
          <w:tcPr>
            <w:tcW w:w="938" w:type="pct"/>
          </w:tcPr>
          <w:p>
            <w:pPr>
              <w:widowControl/>
              <w:suppressAutoHyphens w:val="0"/>
              <w:rPr>
                <w:rFonts w:eastAsia="Calibri" w:cs="Times New Roman"/>
                <w:kern w:val="0"/>
                <w:sz w:val="20"/>
                <w:szCs w:val="20"/>
                <w:lang w:eastAsia="en-US" w:bidi="ar-SA"/>
              </w:rPr>
            </w:pPr>
          </w:p>
        </w:tc>
        <w:tc>
          <w:tcPr>
            <w:tcW w:w="1279" w:type="pct"/>
          </w:tcPr>
          <w:p>
            <w:pPr>
              <w:widowControl/>
              <w:suppressAutoHyphens w:val="0"/>
              <w:rPr>
                <w:rFonts w:eastAsia="Calibri" w:cs="Times New Roman"/>
                <w:kern w:val="0"/>
                <w:sz w:val="20"/>
                <w:szCs w:val="20"/>
                <w:lang w:eastAsia="en-US" w:bidi="ar-SA"/>
              </w:rPr>
            </w:pPr>
          </w:p>
        </w:tc>
        <w:tc>
          <w:tcPr>
            <w:tcW w:w="904" w:type="pct"/>
          </w:tcPr>
          <w:p>
            <w:pPr>
              <w:widowControl/>
              <w:suppressAutoHyphens w:val="0"/>
              <w:rPr>
                <w:rFonts w:eastAsia="Calibri" w:cs="Times New Roman"/>
                <w:kern w:val="0"/>
                <w:sz w:val="20"/>
                <w:szCs w:val="20"/>
                <w:lang w:eastAsia="en-US" w:bidi="ar-SA"/>
              </w:rPr>
            </w:pPr>
          </w:p>
        </w:tc>
        <w:tc>
          <w:tcPr>
            <w:tcW w:w="904" w:type="pct"/>
          </w:tcPr>
          <w:p>
            <w:pPr>
              <w:widowControl/>
              <w:suppressAutoHyphens w:val="0"/>
              <w:rPr>
                <w:rFonts w:eastAsia="Calibri" w:cs="Times New Roman"/>
                <w:kern w:val="0"/>
                <w:sz w:val="20"/>
                <w:szCs w:val="20"/>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pct"/>
          </w:tcPr>
          <w:p>
            <w:pPr>
              <w:widowControl/>
              <w:suppressAutoHyphens w:val="0"/>
              <w:rPr>
                <w:rFonts w:eastAsia="Calibri" w:cs="Times New Roman"/>
                <w:kern w:val="0"/>
                <w:sz w:val="20"/>
                <w:szCs w:val="20"/>
                <w:lang w:eastAsia="en-US" w:bidi="ar-SA"/>
              </w:rPr>
            </w:pPr>
            <w:r>
              <w:rPr>
                <w:rFonts w:eastAsia="Calibri" w:cs="Times New Roman"/>
                <w:kern w:val="0"/>
                <w:sz w:val="20"/>
                <w:szCs w:val="20"/>
                <w:lang w:eastAsia="en-US" w:bidi="ar-SA"/>
              </w:rPr>
              <w:t>ВСЕГО</w:t>
            </w:r>
          </w:p>
        </w:tc>
        <w:tc>
          <w:tcPr>
            <w:tcW w:w="938" w:type="pct"/>
          </w:tcPr>
          <w:p>
            <w:pPr>
              <w:widowControl/>
              <w:suppressAutoHyphens w:val="0"/>
              <w:rPr>
                <w:rFonts w:eastAsia="Calibri" w:cs="Times New Roman"/>
                <w:kern w:val="0"/>
                <w:sz w:val="20"/>
                <w:szCs w:val="20"/>
                <w:lang w:eastAsia="en-US" w:bidi="ar-SA"/>
              </w:rPr>
            </w:pPr>
          </w:p>
        </w:tc>
        <w:tc>
          <w:tcPr>
            <w:tcW w:w="1279" w:type="pct"/>
          </w:tcPr>
          <w:p>
            <w:pPr>
              <w:widowControl/>
              <w:suppressAutoHyphens w:val="0"/>
              <w:rPr>
                <w:rFonts w:eastAsia="Calibri" w:cs="Times New Roman"/>
                <w:kern w:val="0"/>
                <w:sz w:val="20"/>
                <w:szCs w:val="20"/>
                <w:lang w:eastAsia="en-US" w:bidi="ar-SA"/>
              </w:rPr>
            </w:pPr>
          </w:p>
        </w:tc>
        <w:tc>
          <w:tcPr>
            <w:tcW w:w="904" w:type="pct"/>
          </w:tcPr>
          <w:p>
            <w:pPr>
              <w:widowControl/>
              <w:suppressAutoHyphens w:val="0"/>
              <w:rPr>
                <w:rFonts w:eastAsia="Calibri" w:cs="Times New Roman"/>
                <w:kern w:val="0"/>
                <w:sz w:val="20"/>
                <w:szCs w:val="20"/>
                <w:lang w:eastAsia="en-US" w:bidi="ar-SA"/>
              </w:rPr>
            </w:pPr>
          </w:p>
        </w:tc>
        <w:tc>
          <w:tcPr>
            <w:tcW w:w="904" w:type="pct"/>
          </w:tcPr>
          <w:p>
            <w:pPr>
              <w:widowControl/>
              <w:suppressAutoHyphens w:val="0"/>
              <w:rPr>
                <w:rFonts w:eastAsia="Calibri" w:cs="Times New Roman"/>
                <w:kern w:val="0"/>
                <w:sz w:val="20"/>
                <w:szCs w:val="20"/>
                <w:lang w:eastAsia="en-US" w:bidi="ar-SA"/>
              </w:rPr>
            </w:pPr>
          </w:p>
        </w:tc>
      </w:tr>
    </w:tbl>
    <w:p>
      <w:pPr>
        <w:widowControl/>
        <w:suppressAutoHyphens w:val="0"/>
        <w:rPr>
          <w:rFonts w:eastAsia="Calibri" w:cs="Times New Roman"/>
          <w:kern w:val="0"/>
          <w:sz w:val="20"/>
          <w:szCs w:val="20"/>
          <w:lang w:eastAsia="en-US" w:bidi="ar-SA"/>
        </w:rPr>
      </w:pPr>
    </w:p>
    <w:p>
      <w:pPr>
        <w:widowControl/>
        <w:suppressAutoHyphens w:val="0"/>
        <w:ind w:left="142" w:firstLine="426"/>
        <w:jc w:val="center"/>
        <w:outlineLvl w:val="1"/>
        <w:rPr>
          <w:rFonts w:eastAsia="Calibri" w:cs="Times New Roman"/>
          <w:kern w:val="0"/>
          <w:sz w:val="20"/>
          <w:szCs w:val="20"/>
          <w:lang w:eastAsia="en-US" w:bidi="ar-SA"/>
        </w:rPr>
      </w:pPr>
    </w:p>
    <w:tbl>
      <w:tblPr>
        <w:tblStyle w:val="3"/>
        <w:tblW w:w="0" w:type="auto"/>
        <w:tblInd w:w="108" w:type="dxa"/>
        <w:tblLayout w:type="autofit"/>
        <w:tblCellMar>
          <w:top w:w="0" w:type="dxa"/>
          <w:left w:w="108" w:type="dxa"/>
          <w:bottom w:w="0" w:type="dxa"/>
          <w:right w:w="108" w:type="dxa"/>
        </w:tblCellMar>
      </w:tblPr>
      <w:tblGrid>
        <w:gridCol w:w="4845"/>
        <w:gridCol w:w="4901"/>
      </w:tblGrid>
      <w:tr>
        <w:tc>
          <w:tcPr>
            <w:tcW w:w="5210" w:type="dxa"/>
            <w:shd w:val="clear" w:color="auto" w:fill="auto"/>
          </w:tcPr>
          <w:p>
            <w:pPr>
              <w:rPr>
                <w:rFonts w:cs="Times New Roman"/>
                <w:sz w:val="21"/>
                <w:szCs w:val="21"/>
              </w:rPr>
            </w:pPr>
            <w:r>
              <w:rPr>
                <w:rFonts w:cs="Times New Roman"/>
                <w:sz w:val="21"/>
                <w:szCs w:val="21"/>
              </w:rPr>
              <w:t>Региональный оператор:</w:t>
            </w:r>
          </w:p>
          <w:p>
            <w:pPr>
              <w:rPr>
                <w:rFonts w:cs="Times New Roman"/>
                <w:sz w:val="21"/>
                <w:szCs w:val="21"/>
              </w:rPr>
            </w:pPr>
            <w:r>
              <w:rPr>
                <w:rFonts w:eastAsia="Calibri" w:cs="Times New Roman"/>
                <w:kern w:val="0"/>
                <w:sz w:val="21"/>
                <w:szCs w:val="21"/>
                <w:lang w:eastAsia="en-US" w:bidi="ar-SA"/>
              </w:rPr>
              <w:t>Директор ООО «</w:t>
            </w:r>
            <w:r>
              <w:rPr>
                <w:rFonts w:cs="Times New Roman"/>
                <w:sz w:val="21"/>
                <w:szCs w:val="21"/>
              </w:rPr>
              <w:t>РК</w:t>
            </w:r>
            <w:r>
              <w:rPr>
                <w:rFonts w:eastAsia="Calibri" w:cs="Times New Roman"/>
                <w:kern w:val="0"/>
                <w:sz w:val="21"/>
                <w:szCs w:val="21"/>
                <w:lang w:eastAsia="en-US" w:bidi="ar-SA"/>
              </w:rPr>
              <w:t>»</w:t>
            </w:r>
          </w:p>
          <w:p>
            <w:pPr>
              <w:rPr>
                <w:rFonts w:cs="Times New Roman"/>
                <w:sz w:val="21"/>
                <w:szCs w:val="21"/>
              </w:rPr>
            </w:pPr>
          </w:p>
        </w:tc>
        <w:tc>
          <w:tcPr>
            <w:tcW w:w="5211" w:type="dxa"/>
            <w:shd w:val="clear" w:color="auto" w:fill="auto"/>
          </w:tcPr>
          <w:p>
            <w:pPr>
              <w:rPr>
                <w:rFonts w:cs="Times New Roman"/>
                <w:sz w:val="21"/>
                <w:szCs w:val="21"/>
              </w:rPr>
            </w:pPr>
            <w:r>
              <w:rPr>
                <w:rFonts w:cs="Times New Roman"/>
                <w:sz w:val="21"/>
                <w:szCs w:val="21"/>
              </w:rPr>
              <w:t>Потребитель:</w:t>
            </w:r>
          </w:p>
          <w:p>
            <w:pPr>
              <w:rPr>
                <w:rFonts w:cs="Times New Roman"/>
                <w:sz w:val="20"/>
                <w:szCs w:val="20"/>
              </w:rPr>
            </w:pPr>
            <w:r>
              <w:rPr>
                <w:rFonts w:cs="Times New Roman"/>
                <w:sz w:val="21"/>
                <w:szCs w:val="21"/>
              </w:rPr>
              <w:t>_______________________</w:t>
            </w:r>
          </w:p>
          <w:p>
            <w:pPr>
              <w:rPr>
                <w:rFonts w:cs="Times New Roman"/>
                <w:sz w:val="21"/>
                <w:szCs w:val="21"/>
              </w:rPr>
            </w:pPr>
          </w:p>
          <w:p>
            <w:pPr>
              <w:rPr>
                <w:rFonts w:cs="Times New Roman"/>
                <w:sz w:val="21"/>
                <w:szCs w:val="21"/>
              </w:rPr>
            </w:pPr>
          </w:p>
        </w:tc>
      </w:tr>
      <w:tr>
        <w:tblPrEx>
          <w:tblCellMar>
            <w:top w:w="0" w:type="dxa"/>
            <w:left w:w="108" w:type="dxa"/>
            <w:bottom w:w="0" w:type="dxa"/>
            <w:right w:w="108" w:type="dxa"/>
          </w:tblCellMar>
        </w:tblPrEx>
        <w:tc>
          <w:tcPr>
            <w:tcW w:w="5210" w:type="dxa"/>
            <w:shd w:val="clear" w:color="auto" w:fill="auto"/>
          </w:tcPr>
          <w:p>
            <w:pPr>
              <w:rPr>
                <w:rFonts w:cs="Times New Roman"/>
                <w:sz w:val="21"/>
                <w:szCs w:val="21"/>
              </w:rPr>
            </w:pPr>
            <w:r>
              <w:rPr>
                <w:rFonts w:cs="Times New Roman"/>
                <w:sz w:val="21"/>
                <w:szCs w:val="21"/>
              </w:rPr>
              <w:t>__________________/ Т.А. Иванова</w:t>
            </w:r>
          </w:p>
          <w:p>
            <w:pPr>
              <w:rPr>
                <w:rFonts w:cs="Times New Roman"/>
                <w:sz w:val="21"/>
                <w:szCs w:val="21"/>
              </w:rPr>
            </w:pPr>
            <w:r>
              <w:rPr>
                <w:rFonts w:cs="Times New Roman"/>
                <w:sz w:val="21"/>
                <w:szCs w:val="21"/>
              </w:rPr>
              <w:t>М.П.</w:t>
            </w:r>
          </w:p>
        </w:tc>
        <w:tc>
          <w:tcPr>
            <w:tcW w:w="5211" w:type="dxa"/>
            <w:shd w:val="clear" w:color="auto" w:fill="auto"/>
          </w:tcPr>
          <w:p>
            <w:pPr>
              <w:rPr>
                <w:rFonts w:cs="Times New Roman"/>
                <w:sz w:val="21"/>
                <w:szCs w:val="21"/>
              </w:rPr>
            </w:pPr>
            <w:r>
              <w:rPr>
                <w:rFonts w:cs="Times New Roman"/>
                <w:sz w:val="21"/>
                <w:szCs w:val="21"/>
              </w:rPr>
              <w:t xml:space="preserve">__________________ / </w:t>
            </w:r>
            <w:r>
              <w:rPr>
                <w:rFonts w:cs="Times New Roman"/>
                <w:sz w:val="20"/>
                <w:szCs w:val="20"/>
              </w:rPr>
              <w:t>________________</w:t>
            </w:r>
          </w:p>
          <w:p>
            <w:pPr>
              <w:rPr>
                <w:rFonts w:cs="Times New Roman"/>
                <w:sz w:val="21"/>
                <w:szCs w:val="21"/>
              </w:rPr>
            </w:pPr>
            <w:r>
              <w:rPr>
                <w:rFonts w:cs="Times New Roman"/>
                <w:sz w:val="21"/>
                <w:szCs w:val="21"/>
              </w:rPr>
              <w:t>М.П.</w:t>
            </w:r>
          </w:p>
        </w:tc>
      </w:tr>
    </w:tbl>
    <w:p>
      <w:pPr>
        <w:widowControl/>
        <w:suppressAutoHyphens w:val="0"/>
        <w:jc w:val="center"/>
        <w:outlineLvl w:val="1"/>
        <w:rPr>
          <w:rFonts w:eastAsia="Calibri" w:cs="Times New Roman"/>
          <w:kern w:val="0"/>
          <w:sz w:val="20"/>
          <w:szCs w:val="20"/>
          <w:lang w:eastAsia="en-US" w:bidi="ar-SA"/>
        </w:rPr>
      </w:pPr>
    </w:p>
    <w:p>
      <w:pPr>
        <w:jc w:val="right"/>
        <w:rPr>
          <w:rFonts w:eastAsia="Calibri" w:cs="Times New Roman"/>
          <w:b/>
          <w:kern w:val="0"/>
          <w:sz w:val="20"/>
          <w:szCs w:val="20"/>
          <w:lang w:eastAsia="en-US" w:bidi="ar-SA"/>
        </w:rPr>
      </w:pPr>
    </w:p>
    <w:sectPr>
      <w:headerReference r:id="rId6" w:type="first"/>
      <w:headerReference r:id="rId5" w:type="default"/>
      <w:footerReference r:id="rId7" w:type="default"/>
      <w:pgSz w:w="11906" w:h="16838"/>
      <w:pgMar w:top="284" w:right="567" w:bottom="284" w:left="1701" w:header="561" w:footer="822" w:gutter="0"/>
      <w:cols w:space="720" w:num="1"/>
      <w:titlePg/>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altName w:val="Segoe Print"/>
    <w:panose1 w:val="00000400000000000000"/>
    <w:charset w:val="00"/>
    <w:family w:val="roman"/>
    <w:pitch w:val="default"/>
    <w:sig w:usb0="00000000" w:usb1="00000000" w:usb2="00000000" w:usb3="00000000" w:csb0="00000001" w:csb1="00000000"/>
  </w:font>
  <w:font w:name="Segoe UI">
    <w:panose1 w:val="020B0502040204020203"/>
    <w:charset w:val="CC"/>
    <w:family w:val="swiss"/>
    <w:pitch w:val="default"/>
    <w:sig w:usb0="E4002EFF" w:usb1="C000E47F" w:usb2="00000009" w:usb3="00000000" w:csb0="200001FF" w:csb1="00000000"/>
  </w:font>
  <w:font w:name="PFDinTextCondPro-Regular">
    <w:altName w:val="MS Gothic"/>
    <w:panose1 w:val="00000000000000000000"/>
    <w:charset w:val="00"/>
    <w:family w:val="roman"/>
    <w:pitch w:val="default"/>
    <w:sig w:usb0="00000000" w:usb1="00000000" w:usb2="00000000" w:usb3="00000000" w:csb0="00000000" w:csb1="00000000"/>
  </w:font>
  <w:font w:name="Arial Unicode MS">
    <w:panose1 w:val="020B0604020202020204"/>
    <w:charset w:val="80"/>
    <w:family w:val="swiss"/>
    <w:pitch w:val="default"/>
    <w:sig w:usb0="FFFFFFFF" w:usb1="E9FFFFFF" w:usb2="0000003F" w:usb3="00000000" w:csb0="603F01FF" w:csb1="FFFF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right" w:pos="10205"/>
        <w:tab w:val="clear" w:pos="4677"/>
        <w:tab w:val="clear" w:pos="9355"/>
      </w:tabs>
    </w:pPr>
    <w:r>
      <w:rPr>
        <w:sz w:val="18"/>
        <w:szCs w:val="18"/>
      </w:rPr>
      <w:t>Региональный оператор __________________</w:t>
    </w:r>
    <w:r>
      <w:rPr>
        <w:sz w:val="18"/>
        <w:szCs w:val="18"/>
      </w:rPr>
      <w:tab/>
    </w:r>
    <w:r>
      <w:rPr>
        <w:sz w:val="18"/>
        <w:szCs w:val="18"/>
      </w:rPr>
      <w:t xml:space="preserve">Потребитель __________________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Calibri" w:hAnsi="Calibri" w:cs="Calibri"/>
        <w:color w:val="1F497D"/>
        <w:sz w:val="22"/>
        <w:szCs w:val="22"/>
      </w:rPr>
    </w:pPr>
    <w:r>
      <w:rPr>
        <w:rFonts w:ascii="Calibri" w:hAnsi="Calibri" w:cs="Calibri"/>
        <w:color w:val="1F497D"/>
        <w:sz w:val="22"/>
        <w:szCs w:val="22"/>
        <w:lang w:eastAsia="ru-RU" w:bidi="ar-SA"/>
      </w:rPr>
      <w:drawing>
        <wp:inline distT="0" distB="0" distL="0" distR="0">
          <wp:extent cx="700405" cy="697865"/>
          <wp:effectExtent l="0" t="0" r="0" b="0"/>
          <wp:docPr id="1" name="Рисунок 1" descr="C:\Users\sv\AppData\Local\Microsoft\Windows\INetCache\Content.Word\LOGO KASHALOT_LOGO RUS VERTICAL one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sv\AppData\Local\Microsoft\Windows\INetCache\Content.Word\LOGO KASHALOT_LOGO RUS VERTICAL one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00913" cy="698008"/>
                  </a:xfrm>
                  <a:prstGeom prst="rect">
                    <a:avLst/>
                  </a:prstGeom>
                  <a:noFill/>
                  <a:ln>
                    <a:noFill/>
                  </a:ln>
                </pic:spPr>
              </pic:pic>
            </a:graphicData>
          </a:graphic>
        </wp:inline>
      </w:drawing>
    </w:r>
  </w:p>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ascii="Calibri" w:hAnsi="Calibri" w:cs="Calibri"/>
        <w:color w:val="1F497D"/>
        <w:sz w:val="22"/>
        <w:szCs w:val="22"/>
        <w:lang w:eastAsia="ru-RU" w:bidi="ar-SA"/>
      </w:rPr>
      <w:drawing>
        <wp:inline distT="0" distB="0" distL="0" distR="0">
          <wp:extent cx="700405" cy="697865"/>
          <wp:effectExtent l="0" t="0" r="0" b="0"/>
          <wp:docPr id="3" name="Рисунок 3" descr="C:\Users\sv\AppData\Local\Microsoft\Windows\INetCache\Content.Word\LOGO KASHALOT_LOGO RUS VERTICAL one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C:\Users\sv\AppData\Local\Microsoft\Windows\INetCache\Content.Word\LOGO KASHALOT_LOGO RUS VERTICAL one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00913" cy="69800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407BC5"/>
    <w:multiLevelType w:val="singleLevel"/>
    <w:tmpl w:val="B5407BC5"/>
    <w:lvl w:ilvl="0" w:tentative="0">
      <w:start w:val="5"/>
      <w:numFmt w:val="upperLetter"/>
      <w:suff w:val="nothing"/>
      <w:lvlText w:val="%1-"/>
      <w:lvlJc w:val="left"/>
    </w:lvl>
  </w:abstractNum>
  <w:abstractNum w:abstractNumId="1">
    <w:nsid w:val="5461563D"/>
    <w:multiLevelType w:val="multilevel"/>
    <w:tmpl w:val="5461563D"/>
    <w:lvl w:ilvl="0" w:tentative="0">
      <w:start w:val="8"/>
      <w:numFmt w:val="decimal"/>
      <w:lvlText w:val="%1."/>
      <w:lvlJc w:val="left"/>
      <w:pPr>
        <w:ind w:left="360" w:hanging="360"/>
      </w:pPr>
    </w:lvl>
    <w:lvl w:ilvl="1" w:tentative="0">
      <w:start w:val="5"/>
      <w:numFmt w:val="decimal"/>
      <w:lvlText w:val="%1.%2."/>
      <w:lvlJc w:val="left"/>
      <w:pPr>
        <w:ind w:left="360" w:hanging="360"/>
      </w:pPr>
      <w:rPr>
        <w:b/>
      </w:r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2">
    <w:nsid w:val="55B37AA0"/>
    <w:multiLevelType w:val="multilevel"/>
    <w:tmpl w:val="55B37AA0"/>
    <w:lvl w:ilvl="0" w:tentative="0">
      <w:start w:val="6"/>
      <w:numFmt w:val="decimal"/>
      <w:lvlText w:val="%1."/>
      <w:lvlJc w:val="left"/>
      <w:pPr>
        <w:ind w:left="3060" w:hanging="360"/>
      </w:pPr>
      <w:rPr>
        <w:rFonts w:hint="default"/>
      </w:rPr>
    </w:lvl>
    <w:lvl w:ilvl="1" w:tentative="0">
      <w:start w:val="1"/>
      <w:numFmt w:val="decimal"/>
      <w:isLgl/>
      <w:lvlText w:val="%1.%2."/>
      <w:lvlJc w:val="left"/>
      <w:pPr>
        <w:ind w:left="3105" w:hanging="405"/>
      </w:pPr>
      <w:rPr>
        <w:rFonts w:hint="default"/>
        <w:b/>
      </w:rPr>
    </w:lvl>
    <w:lvl w:ilvl="2" w:tentative="0">
      <w:start w:val="1"/>
      <w:numFmt w:val="decimal"/>
      <w:isLgl/>
      <w:lvlText w:val="%1.%2.%3."/>
      <w:lvlJc w:val="left"/>
      <w:pPr>
        <w:ind w:left="3420" w:hanging="720"/>
      </w:pPr>
      <w:rPr>
        <w:rFonts w:hint="default"/>
        <w:b/>
      </w:rPr>
    </w:lvl>
    <w:lvl w:ilvl="3" w:tentative="0">
      <w:start w:val="1"/>
      <w:numFmt w:val="decimal"/>
      <w:isLgl/>
      <w:lvlText w:val="%1.%2.%3.%4."/>
      <w:lvlJc w:val="left"/>
      <w:pPr>
        <w:ind w:left="3420" w:hanging="720"/>
      </w:pPr>
      <w:rPr>
        <w:rFonts w:hint="default"/>
        <w:b/>
      </w:rPr>
    </w:lvl>
    <w:lvl w:ilvl="4" w:tentative="0">
      <w:start w:val="1"/>
      <w:numFmt w:val="decimal"/>
      <w:isLgl/>
      <w:lvlText w:val="%1.%2.%3.%4.%5."/>
      <w:lvlJc w:val="left"/>
      <w:pPr>
        <w:ind w:left="3780" w:hanging="1080"/>
      </w:pPr>
      <w:rPr>
        <w:rFonts w:hint="default"/>
        <w:b/>
      </w:rPr>
    </w:lvl>
    <w:lvl w:ilvl="5" w:tentative="0">
      <w:start w:val="1"/>
      <w:numFmt w:val="decimal"/>
      <w:isLgl/>
      <w:lvlText w:val="%1.%2.%3.%4.%5.%6."/>
      <w:lvlJc w:val="left"/>
      <w:pPr>
        <w:ind w:left="3780" w:hanging="1080"/>
      </w:pPr>
      <w:rPr>
        <w:rFonts w:hint="default"/>
        <w:b/>
      </w:rPr>
    </w:lvl>
    <w:lvl w:ilvl="6" w:tentative="0">
      <w:start w:val="1"/>
      <w:numFmt w:val="decimal"/>
      <w:isLgl/>
      <w:lvlText w:val="%1.%2.%3.%4.%5.%6.%7."/>
      <w:lvlJc w:val="left"/>
      <w:pPr>
        <w:ind w:left="4140" w:hanging="1440"/>
      </w:pPr>
      <w:rPr>
        <w:rFonts w:hint="default"/>
        <w:b/>
      </w:rPr>
    </w:lvl>
    <w:lvl w:ilvl="7" w:tentative="0">
      <w:start w:val="1"/>
      <w:numFmt w:val="decimal"/>
      <w:isLgl/>
      <w:lvlText w:val="%1.%2.%3.%4.%5.%6.%7.%8."/>
      <w:lvlJc w:val="left"/>
      <w:pPr>
        <w:ind w:left="4140" w:hanging="1440"/>
      </w:pPr>
      <w:rPr>
        <w:rFonts w:hint="default"/>
        <w:b/>
      </w:rPr>
    </w:lvl>
    <w:lvl w:ilvl="8" w:tentative="0">
      <w:start w:val="1"/>
      <w:numFmt w:val="decimal"/>
      <w:isLgl/>
      <w:lvlText w:val="%1.%2.%3.%4.%5.%6.%7.%8.%9."/>
      <w:lvlJc w:val="left"/>
      <w:pPr>
        <w:ind w:left="4500" w:hanging="1800"/>
      </w:pPr>
      <w:rPr>
        <w:rFonts w:hint="default"/>
        <w:b/>
      </w:rPr>
    </w:lvl>
  </w:abstractNum>
  <w:abstractNum w:abstractNumId="3">
    <w:nsid w:val="75337C5C"/>
    <w:multiLevelType w:val="multilevel"/>
    <w:tmpl w:val="75337C5C"/>
    <w:lvl w:ilvl="0" w:tentative="0">
      <w:start w:val="2"/>
      <w:numFmt w:val="decimal"/>
      <w:lvlText w:val="%1."/>
      <w:lvlJc w:val="left"/>
      <w:pPr>
        <w:ind w:left="4320" w:hanging="360"/>
      </w:pPr>
      <w:rPr>
        <w:rFonts w:hint="default"/>
      </w:rPr>
    </w:lvl>
    <w:lvl w:ilvl="1" w:tentative="0">
      <w:start w:val="1"/>
      <w:numFmt w:val="lowerLetter"/>
      <w:lvlText w:val="%2."/>
      <w:lvlJc w:val="left"/>
      <w:pPr>
        <w:ind w:left="5040" w:hanging="360"/>
      </w:pPr>
    </w:lvl>
    <w:lvl w:ilvl="2" w:tentative="0">
      <w:start w:val="1"/>
      <w:numFmt w:val="lowerRoman"/>
      <w:lvlText w:val="%3."/>
      <w:lvlJc w:val="right"/>
      <w:pPr>
        <w:ind w:left="5760" w:hanging="180"/>
      </w:pPr>
    </w:lvl>
    <w:lvl w:ilvl="3" w:tentative="0">
      <w:start w:val="1"/>
      <w:numFmt w:val="decimal"/>
      <w:lvlText w:val="%4."/>
      <w:lvlJc w:val="left"/>
      <w:pPr>
        <w:ind w:left="6480" w:hanging="360"/>
      </w:pPr>
    </w:lvl>
    <w:lvl w:ilvl="4" w:tentative="0">
      <w:start w:val="1"/>
      <w:numFmt w:val="lowerLetter"/>
      <w:lvlText w:val="%5."/>
      <w:lvlJc w:val="left"/>
      <w:pPr>
        <w:ind w:left="7200" w:hanging="360"/>
      </w:pPr>
    </w:lvl>
    <w:lvl w:ilvl="5" w:tentative="0">
      <w:start w:val="1"/>
      <w:numFmt w:val="lowerRoman"/>
      <w:lvlText w:val="%6."/>
      <w:lvlJc w:val="right"/>
      <w:pPr>
        <w:ind w:left="7920" w:hanging="180"/>
      </w:pPr>
    </w:lvl>
    <w:lvl w:ilvl="6" w:tentative="0">
      <w:start w:val="1"/>
      <w:numFmt w:val="decimal"/>
      <w:lvlText w:val="%7."/>
      <w:lvlJc w:val="left"/>
      <w:pPr>
        <w:ind w:left="8640" w:hanging="360"/>
      </w:pPr>
    </w:lvl>
    <w:lvl w:ilvl="7" w:tentative="0">
      <w:start w:val="1"/>
      <w:numFmt w:val="lowerLetter"/>
      <w:lvlText w:val="%8."/>
      <w:lvlJc w:val="left"/>
      <w:pPr>
        <w:ind w:left="9360" w:hanging="360"/>
      </w:pPr>
    </w:lvl>
    <w:lvl w:ilvl="8" w:tentative="0">
      <w:start w:val="1"/>
      <w:numFmt w:val="lowerRoman"/>
      <w:lvlText w:val="%9."/>
      <w:lvlJc w:val="right"/>
      <w:pPr>
        <w:ind w:left="10080" w:hanging="180"/>
      </w:pPr>
    </w:lvl>
  </w:abstractNum>
  <w:abstractNum w:abstractNumId="4">
    <w:nsid w:val="762A753D"/>
    <w:multiLevelType w:val="multilevel"/>
    <w:tmpl w:val="762A753D"/>
    <w:lvl w:ilvl="0" w:tentative="0">
      <w:start w:val="13"/>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D7"/>
    <w:rsid w:val="0000198C"/>
    <w:rsid w:val="00002515"/>
    <w:rsid w:val="00002635"/>
    <w:rsid w:val="00004250"/>
    <w:rsid w:val="00004DD2"/>
    <w:rsid w:val="000057C1"/>
    <w:rsid w:val="00016EE2"/>
    <w:rsid w:val="00021FBA"/>
    <w:rsid w:val="00022AF0"/>
    <w:rsid w:val="000314C4"/>
    <w:rsid w:val="00032123"/>
    <w:rsid w:val="000325B7"/>
    <w:rsid w:val="00032993"/>
    <w:rsid w:val="000331C8"/>
    <w:rsid w:val="00034930"/>
    <w:rsid w:val="00042134"/>
    <w:rsid w:val="00051F6E"/>
    <w:rsid w:val="00065473"/>
    <w:rsid w:val="00074A3E"/>
    <w:rsid w:val="000768F2"/>
    <w:rsid w:val="00076E1B"/>
    <w:rsid w:val="00083D92"/>
    <w:rsid w:val="000854AB"/>
    <w:rsid w:val="0009261F"/>
    <w:rsid w:val="000975C1"/>
    <w:rsid w:val="000A0E6E"/>
    <w:rsid w:val="000A16FB"/>
    <w:rsid w:val="000A6B6D"/>
    <w:rsid w:val="000B18DD"/>
    <w:rsid w:val="000B4E97"/>
    <w:rsid w:val="000C08B0"/>
    <w:rsid w:val="000C2E22"/>
    <w:rsid w:val="000D0B69"/>
    <w:rsid w:val="000D18B4"/>
    <w:rsid w:val="000D2793"/>
    <w:rsid w:val="000E28C6"/>
    <w:rsid w:val="000E53B6"/>
    <w:rsid w:val="000E74E2"/>
    <w:rsid w:val="000F0D22"/>
    <w:rsid w:val="000F3FC7"/>
    <w:rsid w:val="00122FD6"/>
    <w:rsid w:val="0013428A"/>
    <w:rsid w:val="001406BE"/>
    <w:rsid w:val="0014638E"/>
    <w:rsid w:val="00160CCD"/>
    <w:rsid w:val="001613FD"/>
    <w:rsid w:val="00165D7A"/>
    <w:rsid w:val="00180CF5"/>
    <w:rsid w:val="00180E67"/>
    <w:rsid w:val="00181CD8"/>
    <w:rsid w:val="001837CD"/>
    <w:rsid w:val="00187576"/>
    <w:rsid w:val="00190D32"/>
    <w:rsid w:val="001A57AF"/>
    <w:rsid w:val="001A59D5"/>
    <w:rsid w:val="001A6F5B"/>
    <w:rsid w:val="001B2160"/>
    <w:rsid w:val="001B3A8A"/>
    <w:rsid w:val="001B490A"/>
    <w:rsid w:val="001D25B4"/>
    <w:rsid w:val="001D350F"/>
    <w:rsid w:val="001D48C0"/>
    <w:rsid w:val="001D7003"/>
    <w:rsid w:val="0021401F"/>
    <w:rsid w:val="00222068"/>
    <w:rsid w:val="002424F9"/>
    <w:rsid w:val="00244523"/>
    <w:rsid w:val="00244706"/>
    <w:rsid w:val="00246AAB"/>
    <w:rsid w:val="00253C43"/>
    <w:rsid w:val="00263C9E"/>
    <w:rsid w:val="00270F49"/>
    <w:rsid w:val="00271972"/>
    <w:rsid w:val="002917B0"/>
    <w:rsid w:val="002963CE"/>
    <w:rsid w:val="002A0939"/>
    <w:rsid w:val="002A4107"/>
    <w:rsid w:val="002A73F0"/>
    <w:rsid w:val="002D336F"/>
    <w:rsid w:val="002D3D2F"/>
    <w:rsid w:val="002E38A9"/>
    <w:rsid w:val="002F3A2E"/>
    <w:rsid w:val="003033C6"/>
    <w:rsid w:val="00311257"/>
    <w:rsid w:val="0031247E"/>
    <w:rsid w:val="003214F5"/>
    <w:rsid w:val="003224FF"/>
    <w:rsid w:val="00326FA7"/>
    <w:rsid w:val="00342B1A"/>
    <w:rsid w:val="00344EDD"/>
    <w:rsid w:val="003514CE"/>
    <w:rsid w:val="00357446"/>
    <w:rsid w:val="00364D3A"/>
    <w:rsid w:val="003737E5"/>
    <w:rsid w:val="00375C00"/>
    <w:rsid w:val="003762FB"/>
    <w:rsid w:val="00376997"/>
    <w:rsid w:val="0039019C"/>
    <w:rsid w:val="003970E1"/>
    <w:rsid w:val="003A2A87"/>
    <w:rsid w:val="003A6307"/>
    <w:rsid w:val="003B290F"/>
    <w:rsid w:val="003B3F24"/>
    <w:rsid w:val="003C562D"/>
    <w:rsid w:val="003D132B"/>
    <w:rsid w:val="003D1DDC"/>
    <w:rsid w:val="003E2BE1"/>
    <w:rsid w:val="003F3DE8"/>
    <w:rsid w:val="003F7AAA"/>
    <w:rsid w:val="00401275"/>
    <w:rsid w:val="004107E0"/>
    <w:rsid w:val="00411C9E"/>
    <w:rsid w:val="00412F0D"/>
    <w:rsid w:val="00420A0B"/>
    <w:rsid w:val="00420A3A"/>
    <w:rsid w:val="0042482A"/>
    <w:rsid w:val="00431B2B"/>
    <w:rsid w:val="00442B2F"/>
    <w:rsid w:val="00447E08"/>
    <w:rsid w:val="00450454"/>
    <w:rsid w:val="00454AC0"/>
    <w:rsid w:val="00455BAD"/>
    <w:rsid w:val="00457187"/>
    <w:rsid w:val="00460E9B"/>
    <w:rsid w:val="00466FC2"/>
    <w:rsid w:val="004723D4"/>
    <w:rsid w:val="00474819"/>
    <w:rsid w:val="00476750"/>
    <w:rsid w:val="00497C58"/>
    <w:rsid w:val="004A4667"/>
    <w:rsid w:val="004A7920"/>
    <w:rsid w:val="004B1308"/>
    <w:rsid w:val="004C168E"/>
    <w:rsid w:val="004D13DE"/>
    <w:rsid w:val="00507DF6"/>
    <w:rsid w:val="00507F3A"/>
    <w:rsid w:val="00511786"/>
    <w:rsid w:val="00511AEE"/>
    <w:rsid w:val="00525EC2"/>
    <w:rsid w:val="00534182"/>
    <w:rsid w:val="005343D4"/>
    <w:rsid w:val="00542C56"/>
    <w:rsid w:val="00552F40"/>
    <w:rsid w:val="00553D8F"/>
    <w:rsid w:val="00555839"/>
    <w:rsid w:val="00556423"/>
    <w:rsid w:val="00556F21"/>
    <w:rsid w:val="00561EA4"/>
    <w:rsid w:val="005649C1"/>
    <w:rsid w:val="005755F5"/>
    <w:rsid w:val="00575ADC"/>
    <w:rsid w:val="0059695A"/>
    <w:rsid w:val="005A3D19"/>
    <w:rsid w:val="005A44A5"/>
    <w:rsid w:val="005B4A7A"/>
    <w:rsid w:val="005B6414"/>
    <w:rsid w:val="005B7585"/>
    <w:rsid w:val="005D10A6"/>
    <w:rsid w:val="005D1690"/>
    <w:rsid w:val="005E0AC5"/>
    <w:rsid w:val="005E4230"/>
    <w:rsid w:val="005F09D1"/>
    <w:rsid w:val="00605F7A"/>
    <w:rsid w:val="00607FCA"/>
    <w:rsid w:val="00615898"/>
    <w:rsid w:val="00617C4C"/>
    <w:rsid w:val="00622789"/>
    <w:rsid w:val="00622A65"/>
    <w:rsid w:val="0062665E"/>
    <w:rsid w:val="00631AEA"/>
    <w:rsid w:val="00633090"/>
    <w:rsid w:val="006338AB"/>
    <w:rsid w:val="00643BB9"/>
    <w:rsid w:val="006507D5"/>
    <w:rsid w:val="00650D8F"/>
    <w:rsid w:val="006706E4"/>
    <w:rsid w:val="00671294"/>
    <w:rsid w:val="00684534"/>
    <w:rsid w:val="00684E2B"/>
    <w:rsid w:val="0069362A"/>
    <w:rsid w:val="00697A34"/>
    <w:rsid w:val="006B1971"/>
    <w:rsid w:val="006B3029"/>
    <w:rsid w:val="006C149C"/>
    <w:rsid w:val="006C44DC"/>
    <w:rsid w:val="006D75F7"/>
    <w:rsid w:val="006E5165"/>
    <w:rsid w:val="006F4BAE"/>
    <w:rsid w:val="0070166B"/>
    <w:rsid w:val="0070518E"/>
    <w:rsid w:val="007106BE"/>
    <w:rsid w:val="0071399F"/>
    <w:rsid w:val="00736E0F"/>
    <w:rsid w:val="00746194"/>
    <w:rsid w:val="00746980"/>
    <w:rsid w:val="00746D7D"/>
    <w:rsid w:val="00756311"/>
    <w:rsid w:val="00763489"/>
    <w:rsid w:val="00771029"/>
    <w:rsid w:val="00775CED"/>
    <w:rsid w:val="00775F49"/>
    <w:rsid w:val="0078464A"/>
    <w:rsid w:val="00790356"/>
    <w:rsid w:val="00790546"/>
    <w:rsid w:val="00790804"/>
    <w:rsid w:val="00794767"/>
    <w:rsid w:val="00795668"/>
    <w:rsid w:val="00795D38"/>
    <w:rsid w:val="00796670"/>
    <w:rsid w:val="007A37E8"/>
    <w:rsid w:val="007B3C89"/>
    <w:rsid w:val="007B7F2A"/>
    <w:rsid w:val="007C1BB9"/>
    <w:rsid w:val="007C384F"/>
    <w:rsid w:val="007D7814"/>
    <w:rsid w:val="007E1237"/>
    <w:rsid w:val="007E3B7D"/>
    <w:rsid w:val="007E436F"/>
    <w:rsid w:val="007E57FB"/>
    <w:rsid w:val="007F6620"/>
    <w:rsid w:val="008057E9"/>
    <w:rsid w:val="00815393"/>
    <w:rsid w:val="00815F0A"/>
    <w:rsid w:val="0081787C"/>
    <w:rsid w:val="00820211"/>
    <w:rsid w:val="008301C8"/>
    <w:rsid w:val="00844365"/>
    <w:rsid w:val="0084625F"/>
    <w:rsid w:val="00852D19"/>
    <w:rsid w:val="00874574"/>
    <w:rsid w:val="00875CD6"/>
    <w:rsid w:val="00882925"/>
    <w:rsid w:val="008839C5"/>
    <w:rsid w:val="00886C44"/>
    <w:rsid w:val="008A333C"/>
    <w:rsid w:val="008A46CD"/>
    <w:rsid w:val="008A5FD4"/>
    <w:rsid w:val="008B16F5"/>
    <w:rsid w:val="008B246E"/>
    <w:rsid w:val="008B4D75"/>
    <w:rsid w:val="008B56AF"/>
    <w:rsid w:val="008B6622"/>
    <w:rsid w:val="008C3C65"/>
    <w:rsid w:val="008C6658"/>
    <w:rsid w:val="008E5CD1"/>
    <w:rsid w:val="008F37CD"/>
    <w:rsid w:val="008F6951"/>
    <w:rsid w:val="00902DA2"/>
    <w:rsid w:val="0090518C"/>
    <w:rsid w:val="009133E4"/>
    <w:rsid w:val="009150C6"/>
    <w:rsid w:val="0091699B"/>
    <w:rsid w:val="00920719"/>
    <w:rsid w:val="00920BCB"/>
    <w:rsid w:val="00930053"/>
    <w:rsid w:val="00942958"/>
    <w:rsid w:val="00947523"/>
    <w:rsid w:val="009505AF"/>
    <w:rsid w:val="00960467"/>
    <w:rsid w:val="00961B02"/>
    <w:rsid w:val="00962008"/>
    <w:rsid w:val="00966C5D"/>
    <w:rsid w:val="0097144F"/>
    <w:rsid w:val="00973F87"/>
    <w:rsid w:val="00974A2D"/>
    <w:rsid w:val="009761FC"/>
    <w:rsid w:val="00982D7C"/>
    <w:rsid w:val="0098316E"/>
    <w:rsid w:val="009842C7"/>
    <w:rsid w:val="00985A24"/>
    <w:rsid w:val="009944F7"/>
    <w:rsid w:val="009A09E4"/>
    <w:rsid w:val="009A204B"/>
    <w:rsid w:val="009A28C7"/>
    <w:rsid w:val="009A3965"/>
    <w:rsid w:val="009A55EF"/>
    <w:rsid w:val="009C00B6"/>
    <w:rsid w:val="009C06ED"/>
    <w:rsid w:val="009C6D92"/>
    <w:rsid w:val="009C7527"/>
    <w:rsid w:val="009D00E9"/>
    <w:rsid w:val="009D0459"/>
    <w:rsid w:val="009E4DFD"/>
    <w:rsid w:val="009E7FD3"/>
    <w:rsid w:val="009F05E3"/>
    <w:rsid w:val="009F6866"/>
    <w:rsid w:val="00A052C4"/>
    <w:rsid w:val="00A0583C"/>
    <w:rsid w:val="00A1484D"/>
    <w:rsid w:val="00A15688"/>
    <w:rsid w:val="00A15C07"/>
    <w:rsid w:val="00A17545"/>
    <w:rsid w:val="00A201AC"/>
    <w:rsid w:val="00A25AB6"/>
    <w:rsid w:val="00A3465D"/>
    <w:rsid w:val="00A376E8"/>
    <w:rsid w:val="00A40C6B"/>
    <w:rsid w:val="00A472F4"/>
    <w:rsid w:val="00A52D8F"/>
    <w:rsid w:val="00A5494A"/>
    <w:rsid w:val="00A6611D"/>
    <w:rsid w:val="00A67531"/>
    <w:rsid w:val="00A76AF0"/>
    <w:rsid w:val="00A76CEC"/>
    <w:rsid w:val="00A77A6E"/>
    <w:rsid w:val="00A94284"/>
    <w:rsid w:val="00A95342"/>
    <w:rsid w:val="00AA560D"/>
    <w:rsid w:val="00AB614D"/>
    <w:rsid w:val="00AB7611"/>
    <w:rsid w:val="00AC286B"/>
    <w:rsid w:val="00AC46AD"/>
    <w:rsid w:val="00AC4F24"/>
    <w:rsid w:val="00AC5A8C"/>
    <w:rsid w:val="00AD6879"/>
    <w:rsid w:val="00AE2E7B"/>
    <w:rsid w:val="00AE4740"/>
    <w:rsid w:val="00AE4B04"/>
    <w:rsid w:val="00AF3547"/>
    <w:rsid w:val="00AF4CF9"/>
    <w:rsid w:val="00AF75E8"/>
    <w:rsid w:val="00AF77D6"/>
    <w:rsid w:val="00B01997"/>
    <w:rsid w:val="00B07CB7"/>
    <w:rsid w:val="00B11A7C"/>
    <w:rsid w:val="00B15423"/>
    <w:rsid w:val="00B17208"/>
    <w:rsid w:val="00B453A2"/>
    <w:rsid w:val="00B61260"/>
    <w:rsid w:val="00B6284C"/>
    <w:rsid w:val="00B64F2A"/>
    <w:rsid w:val="00B70576"/>
    <w:rsid w:val="00B87C7F"/>
    <w:rsid w:val="00BC5B49"/>
    <w:rsid w:val="00BE04E6"/>
    <w:rsid w:val="00BE09D8"/>
    <w:rsid w:val="00BE13C6"/>
    <w:rsid w:val="00BE1F12"/>
    <w:rsid w:val="00BE2080"/>
    <w:rsid w:val="00BE3E55"/>
    <w:rsid w:val="00BF5E7D"/>
    <w:rsid w:val="00BF72F5"/>
    <w:rsid w:val="00C20E50"/>
    <w:rsid w:val="00C23C4A"/>
    <w:rsid w:val="00C25651"/>
    <w:rsid w:val="00C3175A"/>
    <w:rsid w:val="00C333B6"/>
    <w:rsid w:val="00C44454"/>
    <w:rsid w:val="00C52470"/>
    <w:rsid w:val="00C55BB0"/>
    <w:rsid w:val="00C574DD"/>
    <w:rsid w:val="00C657FB"/>
    <w:rsid w:val="00C821B5"/>
    <w:rsid w:val="00C829B1"/>
    <w:rsid w:val="00C83E86"/>
    <w:rsid w:val="00C86FFC"/>
    <w:rsid w:val="00C874B6"/>
    <w:rsid w:val="00CA24D5"/>
    <w:rsid w:val="00CA73C5"/>
    <w:rsid w:val="00CB7BDE"/>
    <w:rsid w:val="00CC397A"/>
    <w:rsid w:val="00CE55BD"/>
    <w:rsid w:val="00CF3937"/>
    <w:rsid w:val="00D016FF"/>
    <w:rsid w:val="00D01D8F"/>
    <w:rsid w:val="00D02290"/>
    <w:rsid w:val="00D07F76"/>
    <w:rsid w:val="00D11869"/>
    <w:rsid w:val="00D141C5"/>
    <w:rsid w:val="00D161D1"/>
    <w:rsid w:val="00D1633B"/>
    <w:rsid w:val="00D34FFF"/>
    <w:rsid w:val="00D418C8"/>
    <w:rsid w:val="00D41C3D"/>
    <w:rsid w:val="00D46831"/>
    <w:rsid w:val="00D51427"/>
    <w:rsid w:val="00D561E5"/>
    <w:rsid w:val="00D577C7"/>
    <w:rsid w:val="00D57D51"/>
    <w:rsid w:val="00D613EE"/>
    <w:rsid w:val="00D658CC"/>
    <w:rsid w:val="00D81D9D"/>
    <w:rsid w:val="00D84B40"/>
    <w:rsid w:val="00D86B1A"/>
    <w:rsid w:val="00D952AD"/>
    <w:rsid w:val="00DA61EF"/>
    <w:rsid w:val="00DA7F10"/>
    <w:rsid w:val="00DB0021"/>
    <w:rsid w:val="00DB52D2"/>
    <w:rsid w:val="00DB6BEC"/>
    <w:rsid w:val="00DC1367"/>
    <w:rsid w:val="00DC2563"/>
    <w:rsid w:val="00DC2FE8"/>
    <w:rsid w:val="00DC4348"/>
    <w:rsid w:val="00DC506F"/>
    <w:rsid w:val="00DC5769"/>
    <w:rsid w:val="00DD5C90"/>
    <w:rsid w:val="00DE0656"/>
    <w:rsid w:val="00DE7A55"/>
    <w:rsid w:val="00DF5E22"/>
    <w:rsid w:val="00E146EA"/>
    <w:rsid w:val="00E148BD"/>
    <w:rsid w:val="00E227F5"/>
    <w:rsid w:val="00E231E6"/>
    <w:rsid w:val="00E270F3"/>
    <w:rsid w:val="00E37F0A"/>
    <w:rsid w:val="00E41385"/>
    <w:rsid w:val="00E4414A"/>
    <w:rsid w:val="00E51184"/>
    <w:rsid w:val="00E630D6"/>
    <w:rsid w:val="00E64501"/>
    <w:rsid w:val="00E6615C"/>
    <w:rsid w:val="00E72C11"/>
    <w:rsid w:val="00E85EA9"/>
    <w:rsid w:val="00E90D8A"/>
    <w:rsid w:val="00E93123"/>
    <w:rsid w:val="00EA72DD"/>
    <w:rsid w:val="00EA79C0"/>
    <w:rsid w:val="00EB3368"/>
    <w:rsid w:val="00EB4FA7"/>
    <w:rsid w:val="00EB6842"/>
    <w:rsid w:val="00EB690F"/>
    <w:rsid w:val="00EC62A6"/>
    <w:rsid w:val="00ED2338"/>
    <w:rsid w:val="00ED3E61"/>
    <w:rsid w:val="00EE10BA"/>
    <w:rsid w:val="00EE3DD7"/>
    <w:rsid w:val="00EE6C52"/>
    <w:rsid w:val="00EF06F9"/>
    <w:rsid w:val="00EF4A23"/>
    <w:rsid w:val="00EF6C74"/>
    <w:rsid w:val="00EF6FBE"/>
    <w:rsid w:val="00EF7B70"/>
    <w:rsid w:val="00F151F1"/>
    <w:rsid w:val="00F24A9F"/>
    <w:rsid w:val="00F24CC3"/>
    <w:rsid w:val="00F44DE2"/>
    <w:rsid w:val="00F651E8"/>
    <w:rsid w:val="00F655C9"/>
    <w:rsid w:val="00F66588"/>
    <w:rsid w:val="00F85382"/>
    <w:rsid w:val="00F86BD5"/>
    <w:rsid w:val="00FA6E65"/>
    <w:rsid w:val="00FB0B69"/>
    <w:rsid w:val="00FB76C5"/>
    <w:rsid w:val="00FC4A4B"/>
    <w:rsid w:val="00FD095A"/>
    <w:rsid w:val="00FD4E2B"/>
    <w:rsid w:val="00FD5605"/>
    <w:rsid w:val="00FF6888"/>
    <w:rsid w:val="10BC0F6E"/>
    <w:rsid w:val="212D7D43"/>
    <w:rsid w:val="33077202"/>
    <w:rsid w:val="3EC77880"/>
    <w:rsid w:val="5F1B551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0" w:semiHidden="0" w:name="No Spacing"/>
    <w:lsdException w:qFormat="1" w:unhideWhenUsed="0" w:uiPriority="1" w:semiHidden="0" w:name="List Paragraph"/>
  </w:latentStyles>
  <w:style w:type="paragraph" w:default="1" w:styleId="1">
    <w:name w:val="Normal"/>
    <w:qFormat/>
    <w:uiPriority w:val="0"/>
    <w:pPr>
      <w:widowControl w:val="0"/>
      <w:suppressAutoHyphens/>
      <w:spacing w:after="0" w:line="240" w:lineRule="auto"/>
    </w:pPr>
    <w:rPr>
      <w:rFonts w:ascii="Times New Roman" w:hAnsi="Times New Roman" w:eastAsia="SimSun" w:cs="Mangal"/>
      <w:kern w:val="1"/>
      <w:sz w:val="24"/>
      <w:szCs w:val="24"/>
      <w:lang w:val="ru-RU" w:eastAsia="hi-IN" w:bidi="hi-IN"/>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annotation reference"/>
    <w:basedOn w:val="2"/>
    <w:semiHidden/>
    <w:unhideWhenUsed/>
    <w:uiPriority w:val="99"/>
    <w:rPr>
      <w:sz w:val="16"/>
      <w:szCs w:val="16"/>
    </w:rPr>
  </w:style>
  <w:style w:type="character" w:styleId="5">
    <w:name w:val="Hyperlink"/>
    <w:basedOn w:val="2"/>
    <w:unhideWhenUsed/>
    <w:uiPriority w:val="99"/>
    <w:rPr>
      <w:color w:val="0563C1" w:themeColor="hyperlink"/>
      <w:u w:val="single"/>
      <w14:textFill>
        <w14:solidFill>
          <w14:schemeClr w14:val="hlink"/>
        </w14:solidFill>
      </w14:textFill>
    </w:rPr>
  </w:style>
  <w:style w:type="paragraph" w:styleId="6">
    <w:name w:val="Balloon Text"/>
    <w:basedOn w:val="1"/>
    <w:link w:val="19"/>
    <w:semiHidden/>
    <w:unhideWhenUsed/>
    <w:uiPriority w:val="99"/>
    <w:rPr>
      <w:rFonts w:ascii="Segoe UI" w:hAnsi="Segoe UI"/>
      <w:sz w:val="18"/>
      <w:szCs w:val="16"/>
    </w:rPr>
  </w:style>
  <w:style w:type="paragraph" w:styleId="7">
    <w:name w:val="annotation text"/>
    <w:basedOn w:val="1"/>
    <w:link w:val="24"/>
    <w:semiHidden/>
    <w:unhideWhenUsed/>
    <w:uiPriority w:val="99"/>
    <w:rPr>
      <w:kern w:val="2"/>
      <w:sz w:val="20"/>
      <w:szCs w:val="18"/>
      <w:lang w:eastAsia="zh-CN"/>
    </w:rPr>
  </w:style>
  <w:style w:type="paragraph" w:styleId="8">
    <w:name w:val="header"/>
    <w:basedOn w:val="1"/>
    <w:link w:val="13"/>
    <w:qFormat/>
    <w:uiPriority w:val="0"/>
    <w:pPr>
      <w:suppressLineNumbers/>
      <w:tabs>
        <w:tab w:val="center" w:pos="4535"/>
        <w:tab w:val="right" w:pos="9071"/>
      </w:tabs>
    </w:pPr>
  </w:style>
  <w:style w:type="paragraph" w:styleId="9">
    <w:name w:val="Body Text"/>
    <w:basedOn w:val="1"/>
    <w:link w:val="21"/>
    <w:uiPriority w:val="0"/>
    <w:pPr>
      <w:widowControl/>
      <w:spacing w:after="120"/>
    </w:pPr>
    <w:rPr>
      <w:rFonts w:eastAsia="Times New Roman" w:cs="Times New Roman"/>
      <w:lang w:eastAsia="ar-SA" w:bidi="ar-SA"/>
    </w:rPr>
  </w:style>
  <w:style w:type="paragraph" w:styleId="10">
    <w:name w:val="footer"/>
    <w:basedOn w:val="1"/>
    <w:link w:val="20"/>
    <w:unhideWhenUsed/>
    <w:qFormat/>
    <w:uiPriority w:val="99"/>
    <w:pPr>
      <w:tabs>
        <w:tab w:val="center" w:pos="4677"/>
        <w:tab w:val="right" w:pos="9355"/>
      </w:tabs>
    </w:pPr>
    <w:rPr>
      <w:szCs w:val="21"/>
    </w:rPr>
  </w:style>
  <w:style w:type="paragraph" w:styleId="11">
    <w:name w:val="Normal (Web)"/>
    <w:basedOn w:val="1"/>
    <w:unhideWhenUsed/>
    <w:qFormat/>
    <w:uiPriority w:val="99"/>
    <w:pPr>
      <w:widowControl/>
      <w:suppressAutoHyphens w:val="0"/>
      <w:spacing w:before="100" w:beforeAutospacing="1" w:after="100" w:afterAutospacing="1"/>
    </w:pPr>
    <w:rPr>
      <w:rFonts w:eastAsia="Times New Roman" w:cs="Times New Roman"/>
      <w:kern w:val="0"/>
      <w:lang w:eastAsia="ru-RU" w:bidi="ar-SA"/>
    </w:rPr>
  </w:style>
  <w:style w:type="table" w:styleId="12">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Верхний колонтитул Знак"/>
    <w:basedOn w:val="2"/>
    <w:link w:val="8"/>
    <w:qFormat/>
    <w:uiPriority w:val="0"/>
    <w:rPr>
      <w:rFonts w:ascii="Times New Roman" w:hAnsi="Times New Roman" w:eastAsia="SimSun" w:cs="Mangal"/>
      <w:kern w:val="1"/>
      <w:sz w:val="24"/>
      <w:szCs w:val="24"/>
      <w:lang w:eastAsia="hi-IN" w:bidi="hi-IN"/>
    </w:rPr>
  </w:style>
  <w:style w:type="paragraph" w:customStyle="1" w:styleId="14">
    <w:name w:val="Колонтитул письма"/>
    <w:basedOn w:val="1"/>
    <w:qFormat/>
    <w:uiPriority w:val="0"/>
    <w:pPr>
      <w:jc w:val="right"/>
    </w:pPr>
    <w:rPr>
      <w:rFonts w:ascii="PFDinTextCondPro-Regular" w:hAnsi="PFDinTextCondPro-Regular"/>
      <w:sz w:val="18"/>
      <w:szCs w:val="18"/>
      <w:lang w:val="en-US"/>
    </w:rPr>
  </w:style>
  <w:style w:type="paragraph" w:customStyle="1" w:styleId="15">
    <w:name w:val="Пункт"/>
    <w:basedOn w:val="1"/>
    <w:uiPriority w:val="0"/>
    <w:pPr>
      <w:widowControl/>
      <w:tabs>
        <w:tab w:val="left" w:pos="1080"/>
      </w:tabs>
      <w:suppressAutoHyphens w:val="0"/>
      <w:autoSpaceDE w:val="0"/>
      <w:autoSpaceDN w:val="0"/>
      <w:ind w:left="792" w:hanging="432"/>
      <w:jc w:val="both"/>
    </w:pPr>
    <w:rPr>
      <w:rFonts w:eastAsia="Times New Roman" w:cs="Times New Roman"/>
      <w:kern w:val="0"/>
      <w:lang w:eastAsia="ru-RU" w:bidi="ar-SA"/>
    </w:rPr>
  </w:style>
  <w:style w:type="paragraph" w:styleId="16">
    <w:name w:val="List Paragraph"/>
    <w:basedOn w:val="1"/>
    <w:link w:val="17"/>
    <w:qFormat/>
    <w:uiPriority w:val="1"/>
    <w:pPr>
      <w:suppressAutoHyphens w:val="0"/>
      <w:ind w:left="720"/>
      <w:contextualSpacing/>
    </w:pPr>
    <w:rPr>
      <w:rFonts w:ascii="Arial Unicode MS" w:hAnsi="Arial Unicode MS" w:eastAsia="Arial Unicode MS" w:cs="Arial Unicode MS"/>
      <w:color w:val="000000"/>
      <w:kern w:val="0"/>
      <w:lang w:bidi="ru-RU"/>
    </w:rPr>
  </w:style>
  <w:style w:type="character" w:customStyle="1" w:styleId="17">
    <w:name w:val="Абзац списка Знак"/>
    <w:link w:val="16"/>
    <w:qFormat/>
    <w:locked/>
    <w:uiPriority w:val="1"/>
    <w:rPr>
      <w:rFonts w:ascii="Arial Unicode MS" w:hAnsi="Arial Unicode MS" w:eastAsia="Arial Unicode MS" w:cs="Arial Unicode MS"/>
      <w:color w:val="000000"/>
      <w:sz w:val="24"/>
      <w:szCs w:val="24"/>
      <w:lang w:bidi="ru-RU"/>
    </w:rPr>
  </w:style>
  <w:style w:type="paragraph" w:styleId="18">
    <w:name w:val="No Spacing"/>
    <w:qFormat/>
    <w:uiPriority w:val="0"/>
    <w:pPr>
      <w:spacing w:after="0" w:line="240" w:lineRule="auto"/>
    </w:pPr>
    <w:rPr>
      <w:rFonts w:ascii="Calibri" w:hAnsi="Calibri" w:eastAsia="Calibri" w:cs="Times New Roman"/>
      <w:sz w:val="22"/>
      <w:szCs w:val="22"/>
      <w:lang w:val="ru-RU" w:eastAsia="en-US" w:bidi="ar-SA"/>
    </w:rPr>
  </w:style>
  <w:style w:type="character" w:customStyle="1" w:styleId="19">
    <w:name w:val="Текст выноски Знак"/>
    <w:basedOn w:val="2"/>
    <w:link w:val="6"/>
    <w:semiHidden/>
    <w:qFormat/>
    <w:uiPriority w:val="99"/>
    <w:rPr>
      <w:rFonts w:ascii="Segoe UI" w:hAnsi="Segoe UI" w:eastAsia="SimSun" w:cs="Mangal"/>
      <w:kern w:val="1"/>
      <w:sz w:val="18"/>
      <w:szCs w:val="16"/>
      <w:lang w:eastAsia="hi-IN" w:bidi="hi-IN"/>
    </w:rPr>
  </w:style>
  <w:style w:type="character" w:customStyle="1" w:styleId="20">
    <w:name w:val="Нижний колонтитул Знак"/>
    <w:basedOn w:val="2"/>
    <w:link w:val="10"/>
    <w:uiPriority w:val="99"/>
    <w:rPr>
      <w:rFonts w:ascii="Times New Roman" w:hAnsi="Times New Roman" w:eastAsia="SimSun" w:cs="Mangal"/>
      <w:kern w:val="1"/>
      <w:sz w:val="24"/>
      <w:szCs w:val="21"/>
      <w:lang w:eastAsia="hi-IN" w:bidi="hi-IN"/>
    </w:rPr>
  </w:style>
  <w:style w:type="character" w:customStyle="1" w:styleId="21">
    <w:name w:val="Основной текст Знак"/>
    <w:basedOn w:val="2"/>
    <w:link w:val="9"/>
    <w:uiPriority w:val="0"/>
    <w:rPr>
      <w:rFonts w:ascii="Times New Roman" w:hAnsi="Times New Roman" w:eastAsia="Times New Roman" w:cs="Times New Roman"/>
      <w:kern w:val="1"/>
      <w:sz w:val="24"/>
      <w:szCs w:val="24"/>
      <w:lang w:eastAsia="ar-SA"/>
    </w:rPr>
  </w:style>
  <w:style w:type="paragraph" w:customStyle="1" w:styleId="22">
    <w:name w:val="Текст письма"/>
    <w:basedOn w:val="1"/>
    <w:uiPriority w:val="0"/>
    <w:pPr>
      <w:spacing w:after="170"/>
      <w:ind w:firstLine="283"/>
      <w:jc w:val="both"/>
    </w:pPr>
    <w:rPr>
      <w:rFonts w:ascii="PFDinTextCondPro-Regular" w:hAnsi="PFDinTextCondPro-Regular"/>
      <w:lang w:val="en-US"/>
    </w:rPr>
  </w:style>
  <w:style w:type="character" w:customStyle="1" w:styleId="23">
    <w:name w:val="WW8Num4z3"/>
    <w:uiPriority w:val="0"/>
  </w:style>
  <w:style w:type="character" w:customStyle="1" w:styleId="24">
    <w:name w:val="Текст примечания Знак"/>
    <w:basedOn w:val="2"/>
    <w:link w:val="7"/>
    <w:semiHidden/>
    <w:uiPriority w:val="99"/>
    <w:rPr>
      <w:rFonts w:cs="Mangal"/>
      <w:kern w:val="2"/>
      <w:szCs w:val="18"/>
      <w:lang w:eastAsia="zh-CN" w:bidi="hi-IN"/>
    </w:rPr>
  </w:style>
  <w:style w:type="character" w:customStyle="1" w:styleId="25">
    <w:name w:val="Неразрешенное упоминание1"/>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BC3D0-652A-48B9-8630-5EDF5D9FF36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5880</Words>
  <Characters>33518</Characters>
  <Lines>279</Lines>
  <Paragraphs>78</Paragraphs>
  <TotalTime>1</TotalTime>
  <ScaleCrop>false</ScaleCrop>
  <LinksUpToDate>false</LinksUpToDate>
  <CharactersWithSpaces>39320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2023-09-20T01:47:00Z</dcterms:created>
  <dc:creator>ЛуценкоОП</dc:creator>
  <cp:lastModifiedBy>Порхулева Людмила</cp:lastModifiedBy>
  <cp:lastPrinted>2019-11-26T11:44:00Z</cp:lastPrinted>
  <dcterms:modified xsi:type="dcterms:W3CDTF">2023-10-11T09:30:45Z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82A71A7835424A1AB2A96F8BF3BE2B34_12</vt:lpwstr>
  </property>
</Properties>
</file>