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 w:val="0"/>
        <w:spacing w:after="0" w:line="240" w:lineRule="auto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>Форма 6 (по 223 ФЗ, нет контейнера)</w:t>
      </w:r>
    </w:p>
    <w:p>
      <w:pPr>
        <w:widowControl/>
        <w:suppressAutoHyphens w:val="0"/>
        <w:spacing w:after="0" w:line="240" w:lineRule="auto"/>
        <w:ind w:left="-284" w:firstLine="284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>
      <w:pPr>
        <w:widowControl/>
        <w:suppressAutoHyphens w:val="0"/>
        <w:spacing w:after="0" w:line="240" w:lineRule="auto"/>
        <w:ind w:left="-284" w:firstLine="284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ДОГОВОР № </w:t>
      </w:r>
      <w:r>
        <w:rPr>
          <w:rFonts w:cs="Times New Roman"/>
          <w:b/>
          <w:sz w:val="18"/>
          <w:szCs w:val="18"/>
        </w:rPr>
        <w:t>_____________</w:t>
      </w:r>
    </w:p>
    <w:p>
      <w:pPr>
        <w:widowControl/>
        <w:suppressAutoHyphens w:val="0"/>
        <w:spacing w:after="0" w:line="240" w:lineRule="auto"/>
        <w:ind w:left="-284" w:firstLine="284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>на оказание услуг по обращению с твердыми коммунальными отходами</w:t>
      </w:r>
    </w:p>
    <w:p>
      <w:pPr>
        <w:widowControl/>
        <w:suppressAutoHyphens w:val="0"/>
        <w:spacing w:after="0" w:line="240" w:lineRule="auto"/>
        <w:ind w:left="-284" w:firstLine="284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>
      <w:pPr>
        <w:pStyle w:val="30"/>
        <w:tabs>
          <w:tab w:val="right" w:pos="96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Красноярск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«___» _______________20__ года</w:t>
      </w:r>
    </w:p>
    <w:p>
      <w:pPr>
        <w:pStyle w:val="30"/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widowControl/>
        <w:suppressAutoHyphens w:val="0"/>
        <w:spacing w:after="0" w:line="240" w:lineRule="auto"/>
        <w:ind w:firstLine="709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________________________________________________________</w:t>
      </w:r>
      <w:r>
        <w:rPr>
          <w:rFonts w:cs="Times New Roman"/>
          <w:bCs/>
          <w:sz w:val="18"/>
          <w:szCs w:val="18"/>
        </w:rPr>
        <w:t xml:space="preserve">, 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именуемое в дальнейшем </w:t>
      </w:r>
      <w:r>
        <w:rPr>
          <w:rFonts w:eastAsia="Times New Roman" w:cs="Times New Roman"/>
          <w:sz w:val="18"/>
          <w:szCs w:val="18"/>
          <w:lang w:eastAsia="ru-RU"/>
        </w:rPr>
        <w:t>«Потребитель»,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в лице</w:t>
      </w:r>
      <w:r>
        <w:rPr>
          <w:rFonts w:cs="Times New Roman"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________________________________________</w:t>
      </w:r>
      <w:r>
        <w:rPr>
          <w:rFonts w:cs="Times New Roman"/>
          <w:bCs/>
          <w:sz w:val="18"/>
          <w:szCs w:val="18"/>
        </w:rPr>
        <w:t>, действующего на основании ______________</w:t>
      </w:r>
      <w:r>
        <w:rPr>
          <w:rFonts w:cs="Times New Roman"/>
          <w:sz w:val="18"/>
          <w:szCs w:val="18"/>
        </w:rPr>
        <w:t>,</w:t>
      </w:r>
      <w:r>
        <w:rPr>
          <w:rFonts w:cs="Times New Roman"/>
          <w:bCs/>
          <w:sz w:val="18"/>
          <w:szCs w:val="18"/>
        </w:rPr>
        <w:t xml:space="preserve"> и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cs="Times New Roman"/>
          <w:sz w:val="18"/>
          <w:szCs w:val="18"/>
        </w:rPr>
        <w:t xml:space="preserve"> </w:t>
      </w:r>
    </w:p>
    <w:p>
      <w:pPr>
        <w:widowControl/>
        <w:suppressAutoHyphens w:val="0"/>
        <w:spacing w:after="0" w:line="240" w:lineRule="auto"/>
        <w:ind w:firstLine="709"/>
        <w:jc w:val="both"/>
        <w:rPr>
          <w:rFonts w:eastAsia="Times New Roman" w:cs="Times New Roman"/>
          <w:bCs/>
          <w:kern w:val="0"/>
          <w:sz w:val="18"/>
          <w:szCs w:val="18"/>
          <w:lang w:eastAsia="ru-RU" w:bidi="ar-SA"/>
        </w:rPr>
      </w:pPr>
      <w:r>
        <w:rPr>
          <w:rFonts w:cs="Times New Roman"/>
          <w:b/>
          <w:bCs/>
          <w:sz w:val="18"/>
          <w:szCs w:val="18"/>
        </w:rPr>
        <w:t>Об</w:t>
      </w:r>
      <w:r>
        <w:rPr>
          <w:rFonts w:cs="Times New Roman"/>
          <w:b/>
          <w:sz w:val="18"/>
          <w:szCs w:val="18"/>
        </w:rPr>
        <w:t>щество с ограниченной ответственностью «Рециклинговая компания» (ООО «РК»)</w:t>
      </w:r>
      <w:r>
        <w:rPr>
          <w:rFonts w:cs="Times New Roman"/>
          <w:sz w:val="18"/>
          <w:szCs w:val="18"/>
        </w:rPr>
        <w:t>, именуемое в дальнейшем «</w:t>
      </w:r>
      <w:r>
        <w:rPr>
          <w:rFonts w:cs="Times New Roman"/>
          <w:bCs/>
          <w:sz w:val="18"/>
          <w:szCs w:val="18"/>
        </w:rPr>
        <w:t xml:space="preserve">Региональный оператор», в лице директора  Ивановой Татьяны Анатольевны, действующего на основании Устава, 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с другой стороны, при совместном упоминании именуемые «Стороны»,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заключили настоящий договор на основании ст. 3.6  Федерального закона от 18.07.2011 № 223-ФЗ «О закупках товаров, работ, услуг отдельными видами юридических лиц» о нижеследующем:</w:t>
      </w:r>
    </w:p>
    <w:p>
      <w:pPr>
        <w:widowControl/>
        <w:suppressAutoHyphens w:val="0"/>
        <w:spacing w:after="0" w:line="240" w:lineRule="auto"/>
        <w:ind w:firstLine="709"/>
        <w:jc w:val="both"/>
        <w:rPr>
          <w:rFonts w:cs="Times New Roman"/>
          <w:sz w:val="18"/>
          <w:szCs w:val="18"/>
        </w:rPr>
      </w:pPr>
    </w:p>
    <w:p>
      <w:pPr>
        <w:pStyle w:val="3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 Термины и определения, используемые в настоящем </w:t>
      </w:r>
      <w:r>
        <w:rPr>
          <w:rFonts w:ascii="Times New Roman" w:hAnsi="Times New Roman" w:eastAsia="Times New Roman" w:cs="Times New Roman"/>
          <w:b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b/>
          <w:sz w:val="18"/>
          <w:szCs w:val="18"/>
        </w:rPr>
        <w:t>е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1.1. Твердые коммунальные отходы</w:t>
      </w:r>
      <w:r>
        <w:rPr>
          <w:rFonts w:ascii="Times New Roman" w:hAnsi="Times New Roman" w:cs="Times New Roman"/>
          <w:sz w:val="18"/>
          <w:szCs w:val="18"/>
        </w:rPr>
        <w:t xml:space="preserve"> (далее – </w:t>
      </w:r>
      <w:r>
        <w:rPr>
          <w:rFonts w:ascii="Times New Roman" w:hAnsi="Times New Roman" w:cs="Times New Roman"/>
          <w:b/>
          <w:sz w:val="18"/>
          <w:szCs w:val="18"/>
        </w:rPr>
        <w:t>ТКО</w:t>
      </w:r>
      <w:r>
        <w:rPr>
          <w:rFonts w:ascii="Times New Roman" w:hAnsi="Times New Roman" w:cs="Times New Roman"/>
          <w:sz w:val="18"/>
          <w:szCs w:val="18"/>
        </w:rPr>
        <w:t>) - 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1.2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Крупногабаритные отходы </w:t>
      </w:r>
      <w:r>
        <w:rPr>
          <w:rFonts w:ascii="Times New Roman" w:hAnsi="Times New Roman" w:cs="Times New Roman"/>
          <w:sz w:val="18"/>
          <w:szCs w:val="18"/>
        </w:rPr>
        <w:t>- ТКО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Потребитель</w:t>
      </w:r>
      <w:r>
        <w:rPr>
          <w:rFonts w:ascii="Times New Roman" w:hAnsi="Times New Roman" w:cs="Times New Roman"/>
          <w:sz w:val="18"/>
          <w:szCs w:val="18"/>
        </w:rPr>
        <w:t xml:space="preserve"> – собственник ТКО или уполномоченное им лицо, заключившее или обязанное заключить с Региональным оператором договор на оказание услуг по обращению с ТКО.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1.4.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Региональный оператор</w:t>
      </w:r>
      <w:r>
        <w:rPr>
          <w:rFonts w:ascii="Times New Roman" w:hAnsi="Times New Roman" w:cs="Times New Roman"/>
          <w:sz w:val="18"/>
          <w:szCs w:val="18"/>
        </w:rPr>
        <w:t xml:space="preserve"> - юридическое лицо, которому на основании конкурсного отбора присвоен статус регионального оператора, сроком на 10 лет и определена зона его деятельности, по обращению с твердыми коммунальными отходами. 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3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В рамках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а на оказание услуг по обращению с ТКО (далее - Договор) Региональный оператор обязуется принимать ТКО в объеме и в месте, которые определены в настоящем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е (Приложение № 1), и обеспечивать их транспортирование, обработку,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Порядок определения объема ТКО, места накопления ТКО, в том числе крупногабаритных отходов, периодичность вывоза ТКО определяются в Приложении № 1 к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Вывоз крупногабаритных отходов осуществляется на основании письменных заявок Потребителя. В заявке должна содержаться информация о перечне, объеме и месте складирования крупногабаритных отходов, подлежащих вывозу. 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Способ складирования ТКО: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указаны в Приложении № 1 к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Дата начала оказания услуг по обращению с ТКО: </w:t>
      </w:r>
      <w:r>
        <w:rPr>
          <w:rFonts w:ascii="Times New Roman" w:hAnsi="Times New Roman"/>
          <w:b/>
          <w:sz w:val="18"/>
          <w:szCs w:val="18"/>
        </w:rPr>
        <w:t>«____» ________________ 202_ года.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>
      <w:pPr>
        <w:pStyle w:val="3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 Сроки и порядок оплаты по </w:t>
      </w:r>
      <w:r>
        <w:rPr>
          <w:rFonts w:ascii="Times New Roman" w:hAnsi="Times New Roman" w:eastAsia="Times New Roman" w:cs="Times New Roman"/>
          <w:b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b/>
          <w:sz w:val="18"/>
          <w:szCs w:val="18"/>
        </w:rPr>
        <w:t>у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Общая цена настоящего Договора составляет </w:t>
      </w:r>
      <w:r>
        <w:rPr>
          <w:rFonts w:ascii="Times New Roman" w:hAnsi="Times New Roman" w:cs="Times New Roman"/>
          <w:b/>
          <w:bCs/>
          <w:sz w:val="18"/>
          <w:szCs w:val="18"/>
        </w:rPr>
        <w:t>_____ руб. __ коп. (сумма прописью), НДС не облагается</w:t>
      </w:r>
      <w:r>
        <w:rPr>
          <w:rFonts w:ascii="Times New Roman" w:hAnsi="Times New Roman" w:cs="Times New Roman"/>
          <w:sz w:val="18"/>
          <w:szCs w:val="18"/>
        </w:rPr>
        <w:t>. Цена договора включает в себя стоимость услуг, расходы по уплате налогов и других обязательных платежей, а также иные расходы Регионального оператора, связанные с исполнением настоящего Договора.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Цена Договора является твердой и определяется на весь срок исполнения Договора, за исключением случаев, предусмотренных законодательством Российской Федерации.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Размер ежемесячной платы по договору определяется по формуле: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P = T x (N x n),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где: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Т – единый тариф на услугу Регионального оператора;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N – утвержденный в установленном порядке норматив накопления ТКО;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n – количество расчетных единиц, на которые установлен норматив накопления ТКО. </w:t>
      </w:r>
    </w:p>
    <w:p>
      <w:pPr>
        <w:pStyle w:val="3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НДС не облагается.</w:t>
      </w:r>
    </w:p>
    <w:p>
      <w:pPr>
        <w:pStyle w:val="3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Наименование и количество расчетных единиц (</w:t>
      </w:r>
      <w:r>
        <w:rPr>
          <w:rFonts w:ascii="Times New Roman" w:hAnsi="Times New Roman" w:cs="Times New Roman"/>
          <w:sz w:val="18"/>
          <w:szCs w:val="18"/>
          <w:lang w:val="en-US"/>
        </w:rPr>
        <w:t>n</w:t>
      </w:r>
      <w:r>
        <w:rPr>
          <w:rFonts w:ascii="Times New Roman" w:hAnsi="Times New Roman" w:cs="Times New Roman"/>
          <w:sz w:val="18"/>
          <w:szCs w:val="18"/>
        </w:rPr>
        <w:t>) определено в Приложении № 1 к Договору.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</w:p>
    <w:p>
      <w:pPr>
        <w:pStyle w:val="3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3.2.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Единый тариф на услугу Регионального оператора на момент заключения настоящего договора установлен приказом Министерства тарифной политики Красноярского края от _______ № ____ в размере:</w:t>
      </w:r>
    </w:p>
    <w:p>
      <w:pPr>
        <w:pStyle w:val="3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 «___» _______ 202_ года по «___» _______ 202_ года: _______ руб./м</w:t>
      </w: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, НДС не облагается.</w:t>
      </w:r>
    </w:p>
    <w:p>
      <w:pPr>
        <w:pStyle w:val="3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Под расчетным периодом по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у понимается один календарный месяц. 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В случае оказания в расчетном периоде услуг по обращению с крупногабаритными отходами, плата за оказание таких услуг включается в размер ежемесячной платы.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Оплата услуг по обращению с ТКО осуществляется Потребителем до 10 (десятого) числа месяца, следующего за отчетным, путем перечисления на расчетный счет Регионального оператора денежных средств в размере ежемесячной платы. </w:t>
      </w:r>
      <w:bookmarkStart w:id="0" w:name="_Hlk114124220"/>
      <w:r>
        <w:rPr>
          <w:rFonts w:ascii="Times New Roman" w:hAnsi="Times New Roman" w:cs="Times New Roman"/>
          <w:sz w:val="18"/>
          <w:szCs w:val="18"/>
        </w:rPr>
        <w:t>Оплата услуг по обращению с ТКО за декабрь может производиться в декабре на основании выставленного счета</w:t>
      </w:r>
      <w:bookmarkEnd w:id="0"/>
      <w:r>
        <w:rPr>
          <w:rFonts w:ascii="Times New Roman" w:hAnsi="Times New Roman" w:cs="Times New Roman"/>
          <w:sz w:val="18"/>
          <w:szCs w:val="18"/>
        </w:rPr>
        <w:t>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3.6.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Если Потребитель оплатил услугу по настоящему договору и суммы оплаты недостаточно для погашения всех возникших обязательств, полученная сумма погашает тот период, срок исполнения которого наступил ранее, если в назначении платежа не указано иное.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В случае изменения единого тарифа на услугу Регионального оператора,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(или) нормативов накопления ТКО.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3.8.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В случаях, предусмотренных п. 3.7. Договора, изменение цены производится без обязательного заключения дополнительного соглашения сторонами и без направления уведомления Региональным оператором в адрес Потребителя. Информацию об изменении единого тарифа на услугу Регионального оператора и/или нормативов накопления ТКО Потребитель самостоятельно получает из СМИ, на сайте Регионального оператора рк24.рф или сайтах Министерства экологии и рационального природопользования Красноярского края и Министерства тарифной политики Красноярского края.</w:t>
      </w:r>
      <w:bookmarkStart w:id="1" w:name="_Hlk114124352"/>
      <w:r>
        <w:rPr>
          <w:rFonts w:ascii="Times New Roman" w:hAnsi="Times New Roman" w:cs="Times New Roman"/>
          <w:sz w:val="18"/>
          <w:szCs w:val="18"/>
        </w:rPr>
        <w:t xml:space="preserve"> По инициативе одной из сторон такое дополнительное соглашение может быть заключено.</w:t>
      </w:r>
      <w:bookmarkEnd w:id="1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>
      <w:pPr>
        <w:pStyle w:val="3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3.9.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Исполнением обязательств по оплате считается дата поступления денежных средств на расчетный счет Регионального оператора.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3.10.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Региональный оператор предоставляет Потребителю универсальный передаточный документ (далее – УПД), в котором отражается расчет ежемесячной платы по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у.     </w:t>
      </w:r>
    </w:p>
    <w:p>
      <w:pPr>
        <w:widowControl/>
        <w:suppressAutoHyphens w:val="0"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bookmarkStart w:id="2" w:name="_Hlk34996960"/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>3.11.</w:t>
      </w:r>
      <w:bookmarkStart w:id="3" w:name="_Hlk114124421"/>
      <w:r>
        <w:rPr>
          <w:rFonts w:eastAsia="Calibri" w:cs="Times New Roman"/>
          <w:color w:val="FF0000"/>
          <w:kern w:val="0"/>
          <w:sz w:val="18"/>
          <w:szCs w:val="18"/>
          <w:lang w:eastAsia="en-US" w:bidi="ar-SA"/>
        </w:rPr>
        <w:tab/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Региональный оператор предоставляет Потребителю 2 экземпляра УПД и счет не позднее пятого числа месяца, следующего за месяцем оказания услуг, одним из следующих способов: </w:t>
      </w:r>
    </w:p>
    <w:p>
      <w:pPr>
        <w:widowControl/>
        <w:suppressAutoHyphens w:val="0"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>1) посредством электронного документооборота (СБИС);</w:t>
      </w:r>
    </w:p>
    <w:p>
      <w:pPr>
        <w:widowControl/>
        <w:suppressAutoHyphens w:val="0"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>2) посредством электронной почты, указанной в Разделе 13 настоящего договора. Документы, переданные через электронную почту, будут считаться официальными и имеющими юридическую силу, с последующим обязательным подтверждением оригиналами, полученными Потребителем в порядке подпункта 3 пункта 3.11. настоящего Договора;</w:t>
      </w:r>
    </w:p>
    <w:p>
      <w:pPr>
        <w:widowControl/>
        <w:suppressAutoHyphens w:val="0"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3) выдача нарочно в офисе Регионального оператора по адресу: </w:t>
      </w:r>
    </w:p>
    <w:p>
      <w:pPr>
        <w:widowControl/>
        <w:suppressAutoHyphens w:val="0"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u w:val="single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u w:val="single"/>
          <w:lang w:eastAsia="en-US" w:bidi="ar-SA"/>
        </w:rPr>
        <w:t xml:space="preserve">- </w:t>
      </w:r>
      <w:r>
        <w:rPr>
          <w:rFonts w:eastAsia="Calibri" w:cs="Times New Roman"/>
          <w:b/>
          <w:kern w:val="0"/>
          <w:sz w:val="18"/>
          <w:szCs w:val="18"/>
          <w:u w:val="single"/>
          <w:lang w:eastAsia="en-US" w:bidi="ar-SA"/>
        </w:rPr>
        <w:t>660018, Красноярский край, г. Красноярск, ул. Куйбышева, д. 93, пом. 124.</w:t>
      </w:r>
    </w:p>
    <w:p>
      <w:pPr>
        <w:widowControl/>
        <w:suppressAutoHyphens w:val="0"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>УПД за декабрь текущего года предоставляется Потребителю не позднее 20 декабря соответствующего года.</w:t>
      </w:r>
    </w:p>
    <w:p>
      <w:pPr>
        <w:widowControl/>
        <w:suppressAutoHyphens w:val="0"/>
        <w:spacing w:after="0" w:line="240" w:lineRule="auto"/>
        <w:jc w:val="both"/>
        <w:rPr>
          <w:rFonts w:ascii="Calibri" w:hAnsi="Calibri"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>Потребитель подписывает и возвращает УПД Региональному оператору не позднее 10 (десятого) числа месяца, следующего за месяцем оказания услуг.</w:t>
      </w:r>
    </w:p>
    <w:p>
      <w:pPr>
        <w:widowControl/>
        <w:suppressAutoHyphens w:val="0"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Если Потребитель не получил, не подписал или не возвратил экземпляр УПД в установленные выше сроки и не представил письменных возражений УПД считается подписанным, а услуги оказанными и принятыми в полном объеме и подлежат оплате Потребителем в срок, указанный в п. 3.5. настоящего </w:t>
      </w:r>
      <w:bookmarkEnd w:id="3"/>
      <w:r>
        <w:rPr>
          <w:rFonts w:eastAsia="Calibri" w:cs="Times New Roman"/>
          <w:kern w:val="0"/>
          <w:sz w:val="18"/>
          <w:szCs w:val="18"/>
          <w:lang w:eastAsia="en-US" w:bidi="ar-SA"/>
        </w:rPr>
        <w:t>Договора.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При достижении сторонами согласия, оформленного дополнительным соглашением к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у, Региональный оператор в оговоренные сроки направляет Потребителю первичные бухгалтерские документы в электронном виде.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Сверка расчетов по настоящему договору проводится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взаимных расчетов по настоящему договору, направляет другой Стороне два экземпляра подписанного со своей стороны акта сверки взаимных расчетов.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Срок для рассмотрения и подписания акта сверки взаимных расчетов составляет 10 (десять) рабочих дней с даты его получения Стороной. В случае неподписания или невозвращения экземпляра акта сверки Стороне, инициирующей проведение сверки, акт сверки считается подписанным.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3.15.</w:t>
      </w:r>
      <w:r>
        <w:rPr>
          <w:rFonts w:ascii="Times New Roman" w:hAnsi="Times New Roman" w:cs="Times New Roman"/>
          <w:sz w:val="18"/>
          <w:szCs w:val="18"/>
        </w:rPr>
        <w:t xml:space="preserve">     В случае неполучения акта сверки Стороной, в адрес которой направлены два экземпляра акта сверки, акт сверки считается согласованным и подписанным обеими Сторонами.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eastAsia="en-US"/>
        </w:rPr>
        <w:t>3.16.</w:t>
      </w:r>
      <w:r>
        <w:rPr>
          <w:rFonts w:ascii="Times New Roman" w:hAnsi="Times New Roman" w:cs="Times New Roman"/>
          <w:sz w:val="18"/>
          <w:szCs w:val="18"/>
          <w:lang w:eastAsia="en-US"/>
        </w:rPr>
        <w:t xml:space="preserve">  Стороны пришли к соглашению, что положения статьи 317.1 ГК РФ не распространяются на отношения, возникшие в рамках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  <w:lang w:eastAsia="en-US"/>
        </w:rPr>
        <w:t>а.</w:t>
      </w:r>
    </w:p>
    <w:p>
      <w:pPr>
        <w:rPr>
          <w:sz w:val="18"/>
          <w:szCs w:val="18"/>
        </w:rPr>
      </w:pPr>
      <w:bookmarkStart w:id="4" w:name="_Hlk114124524"/>
      <w:r>
        <w:rPr>
          <w:b/>
          <w:bCs/>
          <w:sz w:val="18"/>
          <w:szCs w:val="18"/>
        </w:rPr>
        <w:t>3.17.</w:t>
      </w:r>
      <w:r>
        <w:rPr>
          <w:sz w:val="18"/>
          <w:szCs w:val="18"/>
        </w:rPr>
        <w:t xml:space="preserve">    Источник финансирования по Договору: ____________________________</w:t>
      </w:r>
    </w:p>
    <w:p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(заполняется потребителем)</w:t>
      </w:r>
      <w:bookmarkEnd w:id="2"/>
      <w:bookmarkEnd w:id="4"/>
    </w:p>
    <w:p>
      <w:pPr>
        <w:pStyle w:val="3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 Бремя содержания контейнерных площадок и территории,</w:t>
      </w:r>
    </w:p>
    <w:p>
      <w:pPr>
        <w:pStyle w:val="3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прилегающей к месту погрузки ТКО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Региональный оператор отвечает за обращение с ТКО с момента погрузки таких отходов в мусоровоз в местах накопления ТКО.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4.2.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несет Потребитель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eastAsia="Arial Unicode MS" w:cs="Times New Roman"/>
          <w:color w:val="000000"/>
          <w:sz w:val="18"/>
          <w:szCs w:val="18"/>
          <w:lang w:eastAsia="ru-RU" w:bidi="ru-RU"/>
        </w:rPr>
      </w:pPr>
    </w:p>
    <w:p>
      <w:pPr>
        <w:pStyle w:val="3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  Права и обязанности сторон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Региональный оператор обязан: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 принимать ТКО в объеме и в местах, которые определены в </w:t>
      </w:r>
      <w:r>
        <w:fldChar w:fldCharType="begin"/>
      </w:r>
      <w:r>
        <w:instrText xml:space="preserve"> HYPERLINK \l "Par175" \h </w:instrText>
      </w:r>
      <w:r>
        <w:fldChar w:fldCharType="separate"/>
      </w:r>
      <w:r>
        <w:rPr>
          <w:rFonts w:ascii="Times New Roman" w:hAnsi="Times New Roman" w:cs="Times New Roman"/>
          <w:sz w:val="18"/>
          <w:szCs w:val="18"/>
        </w:rPr>
        <w:t>Приложении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 xml:space="preserve"> №1 к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Договору</w:t>
      </w:r>
      <w:r>
        <w:rPr>
          <w:rFonts w:ascii="Times New Roman" w:hAnsi="Times New Roman" w:cs="Times New Roman"/>
          <w:sz w:val="18"/>
          <w:szCs w:val="18"/>
        </w:rPr>
        <w:t>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обеспечивать транспортирование, обработку, захоронение принятых ТКО, в соответствии с законодательством Российской Федерации;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г) отвечать на жалобы и обращения Потребителя по вопросам, связанным с исполнением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а, в течение срока, установленного законодательством РФ для рассмотрения обращений граждан;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Региональный оператор имеет право: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осуществлять контроль за учетом объема принятых ТКО;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не принимать от Потребителя отходы, не относящиеся к ТКО;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в) инициировать проведение сверки расчетов по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г) требовать от Потребителя оплаты услуг по обращению с ТКО в порядке и размере, определенных пунктами 3.2.- 3.5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д) приостановить оказание услуг в случае нарушения Потребителем сроков и порядка оплаты, предусмотренных пунктами 3.2. – 3.5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е) привлекать к исполнению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 третьих лиц, при этом ответственность перед Потребителем за действия третьих лиц несет Региональный оператор.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ж) запрашивать у Потребителя документы, подтверждающие его правоспособность - уставные документы, выписку из ЕГРЮЛ, и др., документы, подтверждающие право собственности (владения, пользования) помещением (зданием),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Потребитель обязан: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 предоставлять Региональному оператору перечень ТКО, образующихся в процессе деятельности Потребителя (Приложение № 2 к настоящему договору);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размещение отходов). При не предоставлении вышеуказанных документов ответственность за нарушение природоохранного законодательства РФ возлагается на Потребителя;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в) осуществлять складирование ТКО в местах накопления отходов, определенных настоящим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ом;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г) 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«Об </w:t>
      </w:r>
      <w:r>
        <w:rPr>
          <w:rFonts w:ascii="Times New Roman" w:hAnsi="Times New Roman" w:cs="Times New Roman"/>
          <w:sz w:val="18"/>
          <w:szCs w:val="18"/>
        </w:rPr>
        <w:t>утверждении Правил коммерческого учета объема и (или) массы ТКО»;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д) производить оплату по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у в порядке, размере и сроки, предусмотренные разделом 3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е) не допускать повреждения контейнеров, предоставленных Региональным оператором;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ж) не допускать попадания в состав ТКО мусора, образующегося при капитальном ремонте и строительстве, горящих, горячих, раскаленных или тлеющих отходов, золы и прочих опасных отходов, тяжеловесных и крупногабаритных отходов, радиоактивных отходов, медицинских отходов (классов Б – Д), иных запрещенных к приему на захоронение на полигонах твердых бытовых отходов,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отходов, или нарушить режим их работы;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з) осуществлять сбор ТКО в офисах и других административных и иных помещениях в специальные полиэтиленовые мешки и пакеты (кассовые чеки и бумагу мелких фракций в обязательном порядке) в целях недопущения загрязнения территорий объекта размещения отходов при их разгрузке;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и) обеспечивать беспрепятственный доступ к контейнерному оборудованию, в том числе путем очистки подъездных путей к контейнерным площадкам и поверхности контейнерной площадки от снега, льда и иных препятствий в случае, если контейнерная площадка принадлежит потребителю;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к) произвести модернизацию контейнерного оборудования, в соответствии с техническими требованиями мусоровоза регионального оператора, если контейнерное оборудование, принадлежащее Потребителю, не соответствует техническим требованиям мусоровоза регионального оператора;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л) извещать Регионального оператора (письменно) до 08 числа месяца, следующего за расчетным, о нарушении условий настоящего Договора и предъявлять претензии по объему или качеству услуг. По истечении указанного срока претензии по объему и/или качеству услуг Региональным оператором не принимаются, стоимость услуг перерасчету не подлежит, а обязательства Регионального оператора считаются исполненными в полном объеме на условиях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м) подписывать УПД и возвращать один экземпляр Региональному оператору не позднее 10 числа месяца, следующего за расчетным. В случае не подписания или невозвращения экземпляра УПД в указанный срок, УПД считается подписанным, а услуги оказанными и принятыми в полном объеме и подлежат оплате Потребителем в срок, указанный в настоящем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е;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н) извещать Регионального оператора о предстоящей ликвидации (реорганизации) Потребителя юридического лица или банкротстве, не менее чем за месяц, способом (почтовое отправление, информационно-телекоммуникационная сеть «Интернет»), позволяющим подтвердить получение такого уведомления адресатом;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о) назначить лицо ответственное за взаимодействие с Региональным оператором по вопросам исполнения настоящего договора.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Потребитель имеет право: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б) инициировать проведение сверки расчетов по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3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Порядок осуществления учета объема ТКО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Стороны согласились производить коммерческий учет объема ТКО в соответствии с Правилами коммерческого учета объема и (или) массы ТКО, утвержденными постановлением Правительства  РФ от 03.06.2016 №505 «Об утверждении Правил  коммерческого  учета  объема  и  (или)  массы  ТКО», расчетным путем исходя из утвержденных нормативов накопления ТКО, выраженных в количественных показателях объема.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Объем крупногабаритных отходов определяется Региональным оператором при их вывозе и указывается в универсальном передаточном документе (УПД), отражающем расчет ежемесячной платы по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>
      <w:pPr>
        <w:pStyle w:val="3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Порядок фиксации нарушений по Договору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В случае нарушения региональным оператором обязательств по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у Потребитель с участием представителя Регионального оператора составляет акт о нарушении Региональным оператором обязательств по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Акт должен содержать: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сведения о заявителе (наименование, местонахождение, адрес);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сведения о нарушении соответствующих пунктов договора;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 другие сведения по усмотрению стороны, в том числе материалы фото- и видеосъемки.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7.6.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Нарушения оператора, осуществляющего деятельность по транспортированию ТКО подлежат фиксации в порядке, аналогичном порядку, предусмотренном п.п. 7.1. – 7.5.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Потребитель направляет копию акта о нарушении Региональным оператором обязательств по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 в уполномоченный орган исполнительной власти субъекта Российской Федерации.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>
      <w:pPr>
        <w:pStyle w:val="3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Ответственность сторон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8.1.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За неисполнение или ненадлежащее исполнение обязательств по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 стороны несут ответственность в соответствии с законодательством Российской Федерации.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8.2. </w:t>
      </w:r>
      <w:r>
        <w:rPr>
          <w:rFonts w:ascii="Times New Roman" w:hAnsi="Times New Roman" w:cs="Times New Roman"/>
          <w:b/>
          <w:sz w:val="18"/>
          <w:szCs w:val="18"/>
        </w:rPr>
        <w:tab/>
      </w:r>
      <w:bookmarkStart w:id="5" w:name="_Hlk34990538"/>
      <w:r>
        <w:rPr>
          <w:rFonts w:ascii="Times New Roman" w:hAnsi="Times New Roman" w:cs="Times New Roman"/>
          <w:sz w:val="18"/>
          <w:szCs w:val="18"/>
        </w:rPr>
        <w:t xml:space="preserve">В случае неисполнения либо ненадлежащего (просрочка) исполнения Потребителем обязательств по оплате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</w:t>
      </w:r>
      <w:bookmarkEnd w:id="5"/>
      <w:r>
        <w:rPr>
          <w:rFonts w:ascii="Times New Roman" w:hAnsi="Times New Roman" w:cs="Times New Roman"/>
          <w:sz w:val="18"/>
          <w:szCs w:val="18"/>
        </w:rPr>
        <w:t xml:space="preserve">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 исполнения.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8.3.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За нарушение правил обращения с твердыми коммунальными отходами в части складирования ТКО, вне мест накопления отходов, определенных настоящим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ом, Потребитель несет административную ответственность в соответствии с законодательством Российской Федерации.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8.4.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При неисполнении Потребителем условий, предусмотренных п. 3.5. и п. 5.3.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а, Региональный оператор оставляет за собой право приостановить исполнение своих обязанностей по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 до устранения нарушений со стороны Потребителя.</w:t>
      </w:r>
    </w:p>
    <w:p>
      <w:pPr>
        <w:pStyle w:val="30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Региональный оператор освобождается от транспортирования ТКО, и не несет ответственности в следующих случаях:</w:t>
      </w:r>
    </w:p>
    <w:p>
      <w:pPr>
        <w:pStyle w:val="3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при отсутствии свободных подъездных путей к местам накопления ТКО;</w:t>
      </w:r>
    </w:p>
    <w:p>
      <w:pPr>
        <w:pStyle w:val="3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при снежных заносах, примерзании контейнерного бака или ТКО;</w:t>
      </w:r>
    </w:p>
    <w:p>
      <w:pPr>
        <w:pStyle w:val="3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при отсутствии свободного доступа или проезда к оборудованным контейнерным площадкам, в том числе из-за парковки автомобилей, неочищенных от снега подъездных путей, провисания проводов и т.п.;</w:t>
      </w:r>
    </w:p>
    <w:p>
      <w:pPr>
        <w:pStyle w:val="3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при складировании в контейнер для ТКО горевших, ядовитых, токсичных, строительных отходов;</w:t>
      </w:r>
    </w:p>
    <w:p>
      <w:pPr>
        <w:pStyle w:val="3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при складировании в контейнер для ТКО смешанных с жидкими отходов, листьев и веток деревьев, смета.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8.6.</w:t>
      </w:r>
      <w:r>
        <w:rPr>
          <w:rFonts w:ascii="Times New Roman" w:hAnsi="Times New Roman" w:cs="Times New Roman"/>
          <w:sz w:val="18"/>
          <w:szCs w:val="18"/>
        </w:rPr>
        <w:t xml:space="preserve"> В случае технической неисправности контейнера(ов), а также несоответствия контейнера(ов)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8.7.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В случае причинения вреда имуществу стороны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а либо 3-им лицам, в процессе оказания услуг по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у, такой вред подлежит возмещению по правилам, предусмотренным главой 59 Гражданского кодекса Российской Федерации, лицом, непосредственно его причинившим.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8.8.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За нарушение правил обращения с твердыми коммунальными отходами, в части складирования твердых коммунальных отходов вне мест накопления таких отходов, определенных настоящим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Договоро</w:t>
      </w:r>
      <w:r>
        <w:rPr>
          <w:rFonts w:ascii="Times New Roman" w:hAnsi="Times New Roman" w:cs="Times New Roman"/>
          <w:sz w:val="18"/>
          <w:szCs w:val="18"/>
        </w:rPr>
        <w:t>м, Потребитель несет административную ответственность в соответствии с действующим законодательством.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8.9.</w:t>
      </w:r>
      <w:r>
        <w:rPr>
          <w:rFonts w:ascii="Times New Roman" w:hAnsi="Times New Roman" w:cs="Times New Roman"/>
          <w:sz w:val="18"/>
          <w:szCs w:val="18"/>
        </w:rPr>
        <w:t xml:space="preserve"> За каждый факт неисполнения Потребителем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следующем порядке:</w:t>
      </w:r>
    </w:p>
    <w:p>
      <w:pPr>
        <w:spacing w:after="0" w:line="240" w:lineRule="auto"/>
        <w:ind w:firstLine="567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а) 1000 рублей, если цена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а не превышает 3 млн. рублей (включительно);</w:t>
      </w:r>
    </w:p>
    <w:p>
      <w:pPr>
        <w:spacing w:after="0" w:line="240" w:lineRule="auto"/>
        <w:ind w:firstLine="567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б) 5000 рублей, если цена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а составляет от 3 млн. рублей до 50 млн. рублей (включительно);</w:t>
      </w:r>
    </w:p>
    <w:p>
      <w:pPr>
        <w:spacing w:after="0" w:line="240" w:lineRule="auto"/>
        <w:ind w:firstLine="567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в) 10000 рублей, если цена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а составляет от 50 млн. рублей до 100 млн. рублей (включительно);</w:t>
      </w:r>
    </w:p>
    <w:p>
      <w:pPr>
        <w:spacing w:after="0" w:line="240" w:lineRule="auto"/>
        <w:ind w:firstLine="567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г) 100000 рублей, если цена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а превышает 100 млн. рублей.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>8.10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. Общая сумма начисленной неустойки (штрафов, пени) за ненадлежащее исполнение Потребителем обязательств, предусмотренных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ом, не может превышать цену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а.</w:t>
      </w:r>
    </w:p>
    <w:p>
      <w:pPr>
        <w:spacing w:after="0" w:line="240" w:lineRule="auto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>8.11.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В случае просрочки исполнения Региональным оператором обязательств (в том числе гарантийного обязательства), предусмотренных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ом, а также в иных случаях неисполнения или ненадлежащего исполнения Региональным оператором обязательств, предусмотренных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ом, Потребитель направляет Региональному оператору требование об уплате неустоек (штрафов, пеней).</w:t>
      </w:r>
    </w:p>
    <w:p>
      <w:pPr>
        <w:spacing w:after="0" w:line="240" w:lineRule="auto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>8.12.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Пеня начисляется за каждый день просрочки исполнения Региональным оператором обязательства, предусмотренного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ом,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а, уменьшенной на сумму, пропорциональную объему обязательств, предусмотренных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ом и фактически исполненных Региональным оператором.</w:t>
      </w:r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 </w:t>
      </w:r>
    </w:p>
    <w:p>
      <w:pPr>
        <w:spacing w:after="0" w:line="240" w:lineRule="auto"/>
        <w:contextualSpacing/>
        <w:jc w:val="both"/>
        <w:rPr>
          <w:rFonts w:eastAsia="Calibri" w:cs="Times New Roman"/>
          <w:sz w:val="18"/>
          <w:szCs w:val="18"/>
          <w:lang w:eastAsia="en-US" w:bidi="ar-SA"/>
        </w:rPr>
      </w:pPr>
      <w:r>
        <w:rPr>
          <w:rFonts w:eastAsia="Calibri" w:cs="Times New Roman"/>
          <w:b/>
          <w:sz w:val="18"/>
          <w:szCs w:val="18"/>
          <w:lang w:eastAsia="en-US" w:bidi="ar-SA"/>
        </w:rPr>
        <w:t>8.13.</w:t>
      </w:r>
      <w:r>
        <w:rPr>
          <w:rFonts w:eastAsia="Calibri" w:cs="Times New Roman"/>
          <w:sz w:val="18"/>
          <w:szCs w:val="18"/>
          <w:lang w:eastAsia="en-US" w:bidi="ar-SA"/>
        </w:rPr>
        <w:t xml:space="preserve"> Общая сумма начисленной неустойки (штрафов, пени) за неисполнение или ненадлежащее исполнение </w:t>
      </w:r>
      <w:r>
        <w:rPr>
          <w:rFonts w:eastAsia="Calibri" w:cs="Times New Roman"/>
          <w:sz w:val="18"/>
          <w:szCs w:val="18"/>
          <w:lang w:eastAsia="en-US"/>
        </w:rPr>
        <w:t>Региональным оператором</w:t>
      </w:r>
      <w:r>
        <w:rPr>
          <w:rFonts w:eastAsia="Calibri" w:cs="Times New Roman"/>
          <w:sz w:val="18"/>
          <w:szCs w:val="18"/>
          <w:lang w:eastAsia="en-US" w:bidi="ar-SA"/>
        </w:rPr>
        <w:t xml:space="preserve"> обязательств, предусмотренных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sz w:val="18"/>
          <w:szCs w:val="18"/>
          <w:lang w:eastAsia="en-US" w:bidi="ar-SA"/>
        </w:rPr>
        <w:t xml:space="preserve">ом, не может превышать цену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sz w:val="18"/>
          <w:szCs w:val="18"/>
          <w:lang w:eastAsia="en-US" w:bidi="ar-SA"/>
        </w:rPr>
        <w:t>а.</w:t>
      </w:r>
    </w:p>
    <w:p>
      <w:pPr>
        <w:widowControl/>
        <w:spacing w:after="0" w:line="240" w:lineRule="auto"/>
        <w:contextualSpacing/>
        <w:jc w:val="both"/>
        <w:rPr>
          <w:rFonts w:eastAsia="Calibri" w:cs="Times New Roman"/>
          <w:kern w:val="0"/>
          <w:sz w:val="18"/>
          <w:szCs w:val="18"/>
          <w:lang w:eastAsia="zh-CN" w:bidi="ar-SA"/>
        </w:rPr>
      </w:pPr>
      <w:r>
        <w:rPr>
          <w:rFonts w:eastAsia="Calibri" w:cs="Times New Roman"/>
          <w:b/>
          <w:bCs/>
          <w:kern w:val="0"/>
          <w:sz w:val="18"/>
          <w:szCs w:val="18"/>
          <w:lang w:eastAsia="zh-CN" w:bidi="ar-SA"/>
        </w:rPr>
        <w:t>8.14.</w:t>
      </w:r>
      <w:r>
        <w:rPr>
          <w:rFonts w:eastAsia="Calibri" w:cs="Times New Roman"/>
          <w:kern w:val="0"/>
          <w:sz w:val="18"/>
          <w:szCs w:val="18"/>
          <w:lang w:eastAsia="zh-CN" w:bidi="ar-SA"/>
        </w:rPr>
        <w:t xml:space="preserve"> Перед заключением настоящего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zh-CN" w:bidi="ar-SA"/>
        </w:rPr>
        <w:t>а Региональным оператором Потребителю предложен график транспортирования ТКО с места (мест) временного накопления несортированных ТКО исходя из среднесуточной температуры наружного воздуха в течение 3-х суток: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плюс 5°С и выше - не более 1 суток;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плюс 4°С и ниже - не более 3 суток.</w:t>
      </w:r>
    </w:p>
    <w:p>
      <w:pPr>
        <w:widowControl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zh-CN" w:bidi="ar-SA"/>
        </w:rPr>
      </w:pPr>
      <w:r>
        <w:rPr>
          <w:rFonts w:eastAsia="Calibri" w:cs="Times New Roman"/>
          <w:kern w:val="0"/>
          <w:sz w:val="18"/>
          <w:szCs w:val="18"/>
          <w:lang w:eastAsia="zh-CN" w:bidi="ar-SA"/>
        </w:rPr>
        <w:t>Об ответственности за несоблюдение санитарно-эпидемиологических требований при обращении с отходами Потребитель Региональным оператором предупрежден.</w:t>
      </w:r>
    </w:p>
    <w:p>
      <w:pPr>
        <w:widowControl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zh-CN" w:bidi="ar-SA"/>
        </w:rPr>
      </w:pPr>
      <w:r>
        <w:rPr>
          <w:rFonts w:eastAsia="Calibri" w:cs="Times New Roman"/>
          <w:kern w:val="0"/>
          <w:sz w:val="18"/>
          <w:szCs w:val="18"/>
          <w:lang w:eastAsia="zh-CN" w:bidi="ar-SA"/>
        </w:rPr>
        <w:t xml:space="preserve">Поскольку Потребителем в Приложении № 1 к настоящему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zh-CN" w:bidi="ar-SA"/>
        </w:rPr>
        <w:t>у самостоятельно, на свой риск и под свою ответственность, определен индивидуальный график транспортирования ТКО с места (мест) временного накопления ТКО, за несоблюдение требований санитарного законодательства, в том числе нарушений в части установленной кратности вывоза ТКО всю ответственность по ст. 6.35. КоАП РФ «Несоблюдение санитарно-эпидемиологических требований при обращении с отходами» несет Потребитель.</w:t>
      </w:r>
    </w:p>
    <w:p>
      <w:pPr>
        <w:widowControl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zh-CN" w:bidi="ar-SA"/>
        </w:rPr>
      </w:pPr>
      <w:r>
        <w:rPr>
          <w:rFonts w:eastAsia="Calibri" w:cs="Times New Roman"/>
          <w:b/>
          <w:bCs/>
          <w:kern w:val="0"/>
          <w:sz w:val="18"/>
          <w:szCs w:val="18"/>
          <w:lang w:eastAsia="zh-CN" w:bidi="ar-SA"/>
        </w:rPr>
        <w:t xml:space="preserve">8.15. </w:t>
      </w:r>
      <w:r>
        <w:rPr>
          <w:rFonts w:eastAsia="Calibri" w:cs="Times New Roman"/>
          <w:kern w:val="0"/>
          <w:sz w:val="18"/>
          <w:szCs w:val="18"/>
          <w:lang w:eastAsia="zh-CN" w:bidi="ar-SA"/>
        </w:rPr>
        <w:t xml:space="preserve">Потребитель в соответствии со ст. 406.1 ГК РФ, возмещает Региональному оператору все имущественные потери последнего, возникшие в связи с предъявлением государственными органами требований об уплате штрафа за несоблюдение требований санитарного законодательства, в части установленной кратности вывоза ТКО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zh-CN" w:bidi="ar-SA"/>
        </w:rPr>
        <w:t xml:space="preserve">ом, по ст. 6.35. КоАП РФ «Несоблюдение санитарно-эпидемиологических требований при обращении с отходами. </w:t>
      </w:r>
    </w:p>
    <w:p>
      <w:pPr>
        <w:widowControl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zh-CN" w:bidi="ar-SA"/>
        </w:rPr>
      </w:pPr>
    </w:p>
    <w:p>
      <w:pPr>
        <w:pStyle w:val="3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Обстоятельства непреодолимой силы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у, если оно явилось следствием обстоятельств непреодолимой силы.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При этом срок исполнения обязательств по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3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 действия </w:t>
      </w:r>
      <w:r>
        <w:rPr>
          <w:rFonts w:ascii="Times New Roman" w:hAnsi="Times New Roman" w:eastAsia="Times New Roman" w:cs="Times New Roman"/>
          <w:b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b/>
          <w:sz w:val="18"/>
          <w:szCs w:val="18"/>
        </w:rPr>
        <w:t xml:space="preserve">а. Порядок изменение расторжения </w:t>
      </w:r>
      <w:r>
        <w:rPr>
          <w:rFonts w:ascii="Times New Roman" w:hAnsi="Times New Roman" w:eastAsia="Times New Roman" w:cs="Times New Roman"/>
          <w:b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b/>
          <w:sz w:val="18"/>
          <w:szCs w:val="18"/>
        </w:rPr>
        <w:t>а</w:t>
      </w:r>
    </w:p>
    <w:p>
      <w:pPr>
        <w:spacing w:line="240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10.1.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>Настоящий договор считается заключенным Сторонами с даты его подписания, указанной Региональным оператором в правом верхнем углу на первой странице договора, распространяет действие на отношения сторон, возникшие с «______» _________ 202_ года и действует по «_____» _________20__ года.</w:t>
      </w:r>
    </w:p>
    <w:p>
      <w:pPr>
        <w:spacing w:line="240" w:lineRule="auto"/>
        <w:contextualSpacing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10.2.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 xml:space="preserve">При исполнении </w:t>
      </w:r>
      <w:r>
        <w:rPr>
          <w:rFonts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cs="Times New Roman"/>
          <w:sz w:val="18"/>
          <w:szCs w:val="18"/>
        </w:rPr>
        <w:t xml:space="preserve">а по согласованию Потребителя с Региональным оператором допускается оказание услуг,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</w:t>
      </w:r>
      <w:r>
        <w:rPr>
          <w:rFonts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cs="Times New Roman"/>
          <w:sz w:val="18"/>
          <w:szCs w:val="18"/>
        </w:rPr>
        <w:t>е.</w:t>
      </w:r>
    </w:p>
    <w:p>
      <w:pPr>
        <w:spacing w:line="240" w:lineRule="auto"/>
        <w:contextualSpacing/>
        <w:rPr>
          <w:sz w:val="18"/>
          <w:szCs w:val="18"/>
        </w:rPr>
      </w:pPr>
      <w:r>
        <w:rPr>
          <w:rFonts w:cs="Times New Roman"/>
          <w:b/>
          <w:sz w:val="18"/>
          <w:szCs w:val="18"/>
        </w:rPr>
        <w:t>10.3.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 xml:space="preserve">Расторжение </w:t>
      </w:r>
      <w:r>
        <w:rPr>
          <w:rFonts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cs="Times New Roman"/>
          <w:sz w:val="18"/>
          <w:szCs w:val="18"/>
        </w:rPr>
        <w:t xml:space="preserve">а допускается по соглашению Сторон, по решению суда, в случае одностороннего отказа стороны </w:t>
      </w:r>
      <w:r>
        <w:rPr>
          <w:rFonts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cs="Times New Roman"/>
          <w:sz w:val="18"/>
          <w:szCs w:val="18"/>
        </w:rPr>
        <w:t xml:space="preserve">а от исполнения </w:t>
      </w:r>
      <w:r>
        <w:rPr>
          <w:rFonts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cs="Times New Roman"/>
          <w:sz w:val="18"/>
          <w:szCs w:val="18"/>
        </w:rPr>
        <w:t>а в соответствии с гражданским законодательством.</w:t>
      </w:r>
    </w:p>
    <w:p>
      <w:pPr>
        <w:spacing w:line="240" w:lineRule="auto"/>
        <w:contextualSpacing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10.4.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 xml:space="preserve">Потребитель вправе принять решение об одностороннем отказе от исполнения </w:t>
      </w:r>
      <w:r>
        <w:rPr>
          <w:rFonts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cs="Times New Roman"/>
          <w:sz w:val="18"/>
          <w:szCs w:val="18"/>
        </w:rPr>
        <w:t>а в соответствии с гражданским законодательством.</w:t>
      </w:r>
    </w:p>
    <w:p>
      <w:pPr>
        <w:spacing w:line="240" w:lineRule="auto"/>
        <w:contextualSpacing/>
        <w:jc w:val="both"/>
        <w:rPr>
          <w:sz w:val="18"/>
          <w:szCs w:val="18"/>
        </w:rPr>
      </w:pPr>
      <w:r>
        <w:rPr>
          <w:rFonts w:cs="Times New Roman"/>
          <w:b/>
          <w:sz w:val="18"/>
          <w:szCs w:val="18"/>
        </w:rPr>
        <w:t>10.5.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 xml:space="preserve">При расторжении </w:t>
      </w:r>
      <w:r>
        <w:rPr>
          <w:rFonts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cs="Times New Roman"/>
          <w:sz w:val="18"/>
          <w:szCs w:val="18"/>
        </w:rPr>
        <w:t xml:space="preserve">а в связи с односторонним отказом стороны </w:t>
      </w:r>
      <w:r>
        <w:rPr>
          <w:rFonts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cs="Times New Roman"/>
          <w:sz w:val="18"/>
          <w:szCs w:val="18"/>
        </w:rPr>
        <w:t xml:space="preserve">а от исполнения </w:t>
      </w:r>
      <w:r>
        <w:rPr>
          <w:rFonts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cs="Times New Roman"/>
          <w:sz w:val="18"/>
          <w:szCs w:val="18"/>
        </w:rPr>
        <w:t xml:space="preserve">а другая сторона </w:t>
      </w:r>
      <w:r>
        <w:rPr>
          <w:rFonts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cs="Times New Roman"/>
          <w:sz w:val="18"/>
          <w:szCs w:val="18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rPr>
          <w:rFonts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cs="Times New Roman"/>
          <w:sz w:val="18"/>
          <w:szCs w:val="18"/>
        </w:rPr>
        <w:t>а.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3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Порядок разрешения споров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6" w:name="_Hlk34996998"/>
      <w:r>
        <w:rPr>
          <w:rFonts w:ascii="Times New Roman" w:hAnsi="Times New Roman" w:cs="Times New Roman"/>
          <w:b/>
          <w:sz w:val="18"/>
          <w:szCs w:val="18"/>
        </w:rPr>
        <w:t>11.1.</w:t>
      </w:r>
      <w:r>
        <w:rPr>
          <w:rFonts w:ascii="Times New Roman" w:hAnsi="Times New Roman" w:cs="Times New Roman"/>
          <w:sz w:val="18"/>
          <w:szCs w:val="18"/>
        </w:rPr>
        <w:t xml:space="preserve">  Споры Сторон, возникшие в связи с исполнением настоящего Договора, разрешаются путем переговоров.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11.2.  </w:t>
      </w:r>
      <w:r>
        <w:rPr>
          <w:rFonts w:ascii="Times New Roman" w:hAnsi="Times New Roman" w:cs="Times New Roman"/>
          <w:sz w:val="18"/>
          <w:szCs w:val="18"/>
        </w:rPr>
        <w:t xml:space="preserve">Срок для ответа на претензию составляет 10 (десять) рабочих дней с даты ее получения Стороной. При отсутствии в установленный срок возражений Стороны, получившей претензию, против заявленных требований (в целом, в их части), соответствующие требования считаются признанными, а их обоснованность достоверной.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11.3.</w:t>
      </w:r>
      <w:r>
        <w:rPr>
          <w:rFonts w:ascii="Times New Roman" w:hAnsi="Times New Roman" w:cs="Times New Roman"/>
          <w:sz w:val="18"/>
          <w:szCs w:val="18"/>
        </w:rPr>
        <w:t xml:space="preserve"> В случае неполучения претензии Стороной, в адрес которой направлена претензия, требования, указанные в претензии, считаются признанными, а их обоснованность достоверной.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11.4.</w:t>
      </w:r>
      <w:r>
        <w:rPr>
          <w:rFonts w:ascii="Times New Roman" w:hAnsi="Times New Roman" w:cs="Times New Roman"/>
          <w:sz w:val="18"/>
          <w:szCs w:val="18"/>
        </w:rPr>
        <w:t xml:space="preserve">  Разногласия с Потребителем, не урегулированные путем переговоров, подлежат рассмотрению в Арбитражном суде Красноярского края.</w:t>
      </w:r>
    </w:p>
    <w:bookmarkEnd w:id="6"/>
    <w:p>
      <w:pPr>
        <w:pStyle w:val="3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>
      <w:pPr>
        <w:pStyle w:val="3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12. Антикоррупционная оговорка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12.1.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При исполнении своих обязательств по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При исполнении своих обязательств по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у Стороны, их аффилированные лица, работники или посредники не осуществляют действия, квалифицируемые применимым для целей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12.2.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В случае возникновения у Стороны подозрений, что произошло или может произойти нарушение каких-либо положений пункта 12.1.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12.1.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 другой Стороной, ее аффилированными лицами, работниками или посредниками.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Каналы уведомления Потребителя о нарушениях каких-либо положений пункта 12.1. настоящего Договора: ______________________  (электронная почта  Потребителя).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Каналы уведомления Регионального оператора о нарушениях каких-либо положений пункта 12.1. настоящего Договора: тел.</w:t>
      </w:r>
    </w:p>
    <w:p>
      <w:pPr>
        <w:spacing w:line="240" w:lineRule="auto"/>
        <w:contextualSpacing/>
      </w:pPr>
      <w:r>
        <w:t>____________________.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12.3.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Сторона, получившая уведомление о нарушении каких-либо положений пункта 12.1.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12.4.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Стороны гарантируют осуществление надлежащего разбирательства по фактам нарушения положений пункта 12.1.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12.5.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В случае подтверждения факта нарушения одной Стороной положений пункта 12.1.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а и/или неполучения другой Стороной информации об итогах рассмотрения уведомления о нарушении в соответствии с пунктом 12.2.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а, другая Сторона имеет право расторгнуть настоящий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 в одностороннем внесудебном порядке путем направления письменного уведомления не позднее чем за 45 (сорок пять) календарных дней до даты прекращения действия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p>
      <w:pPr>
        <w:pStyle w:val="30"/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Прочие условия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13.1.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Во всем остальном, не предусмотренном настоящим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ом, стороны руководствуются действующим законодательством Российской Федерации.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Все изменения, которые вносятся в настоящий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, считаются действительными, если они оформлены в письменном виде, подписаны уполномоченными на то лицами.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Право собственности на ТКО переходит к Региональному оператору с момента погрузки ТКО в мусоровоз.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 письмом на эл. почту, нарочно), позволяющим  подтвердить его </w:t>
      </w:r>
      <w:r>
        <w:rPr>
          <w:rFonts w:ascii="Times New Roman" w:hAnsi="Times New Roman" w:cs="Times New Roman"/>
          <w:bCs/>
          <w:sz w:val="18"/>
          <w:szCs w:val="18"/>
        </w:rPr>
        <w:t>получение.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Сторона, изменившая реквизиты и не уведомившая об этом другую сторону в установленный данным пунктом срок, не имеет права ссылаться на то, что предусмотренные настоящим договором и направленные ей предписания, уведомления, сообщения, акты и т.д. не получены и вследствие этого не исполнены.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7" w:name="_Hlk34997071"/>
      <w:r>
        <w:rPr>
          <w:rFonts w:ascii="Times New Roman" w:hAnsi="Times New Roman" w:cs="Times New Roman"/>
          <w:b/>
          <w:sz w:val="18"/>
          <w:szCs w:val="18"/>
        </w:rPr>
        <w:t xml:space="preserve">13.5. </w:t>
      </w:r>
      <w:r>
        <w:rPr>
          <w:rFonts w:ascii="Times New Roman" w:hAnsi="Times New Roman" w:cs="Times New Roman"/>
          <w:bCs/>
          <w:sz w:val="18"/>
          <w:szCs w:val="18"/>
        </w:rPr>
        <w:t xml:space="preserve">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посредством электронного документооборота (СБИС);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на электронный почтовый ящик (e-mail), указанный в Разделе 14. «Реквизиты сторон» настоящего договора – при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 отправителем;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заказным письмом по адресу местонахождения Стороны;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передача лично Стороне или ее уполномоченному представителю под роспись либо по передаточному акту.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13.6. </w:t>
      </w:r>
      <w:r>
        <w:rPr>
          <w:rFonts w:ascii="Times New Roman" w:hAnsi="Times New Roman" w:cs="Times New Roman"/>
          <w:bCs/>
          <w:sz w:val="18"/>
          <w:szCs w:val="18"/>
        </w:rPr>
        <w:t>Договор, его дополнения и изменения, УПД, счета, представленные с использованием средств электронной связи, позволяющим идентифицировать отправителя и дату отправления, имеют юридическую силу, с последующим обязательным подтверждением оригиналами. При использовании электронного документооборота (СБИС) дополнительный обмен оригиналами не требуется.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13.7.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r>
        <w:fldChar w:fldCharType="begin"/>
      </w:r>
      <w:r>
        <w:instrText xml:space="preserve"> HYPERLINK "consultantplus://offline/ref%3D47167082F25963C0EB1319F6D7071027D5EBCC6ABE949E91899A14FF3Cr04DL" \h </w:instrText>
      </w:r>
      <w: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t>закона</w:t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bCs/>
          <w:sz w:val="18"/>
          <w:szCs w:val="18"/>
        </w:rPr>
        <w:t xml:space="preserve">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13.8.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>Настоящий Договор составлен в 2 (двух) экземплярах, имеющих равную юридическую силу, по одному экземпляру для каждой из Сторон.</w:t>
      </w:r>
    </w:p>
    <w:p>
      <w:pPr>
        <w:pStyle w:val="29"/>
        <w:tabs>
          <w:tab w:val="left" w:pos="1319"/>
        </w:tabs>
        <w:spacing w:after="0" w:line="240" w:lineRule="auto"/>
        <w:ind w:left="-284" w:right="112" w:firstLine="284"/>
        <w:jc w:val="both"/>
        <w:rPr>
          <w:rFonts w:ascii="Times New Roman" w:hAnsi="Times New Roman" w:eastAsia="Calibri" w:cs="Times New Roman"/>
          <w:b/>
          <w:color w:val="auto"/>
          <w:sz w:val="18"/>
          <w:szCs w:val="18"/>
          <w:lang w:eastAsia="en-US" w:bidi="ar-SA"/>
        </w:rPr>
      </w:pPr>
      <w:r>
        <w:rPr>
          <w:rFonts w:ascii="Times New Roman" w:hAnsi="Times New Roman" w:eastAsia="Calibri" w:cs="Times New Roman"/>
          <w:b/>
          <w:color w:val="auto"/>
          <w:sz w:val="18"/>
          <w:szCs w:val="18"/>
          <w:lang w:eastAsia="en-US" w:bidi="ar-SA"/>
        </w:rPr>
        <w:t>Приложение:</w:t>
      </w:r>
    </w:p>
    <w:p>
      <w:pPr>
        <w:pStyle w:val="29"/>
        <w:tabs>
          <w:tab w:val="left" w:pos="1319"/>
        </w:tabs>
        <w:spacing w:after="0" w:line="240" w:lineRule="auto"/>
        <w:ind w:left="-284" w:right="112" w:firstLine="284"/>
        <w:jc w:val="both"/>
        <w:rPr>
          <w:rFonts w:ascii="Times New Roman" w:hAnsi="Times New Roman" w:eastAsia="Calibri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hAnsi="Times New Roman" w:eastAsia="Calibri" w:cs="Times New Roman"/>
          <w:color w:val="auto"/>
          <w:sz w:val="18"/>
          <w:szCs w:val="18"/>
          <w:lang w:eastAsia="en-US" w:bidi="ar-SA"/>
        </w:rPr>
        <w:t xml:space="preserve">№ 1 – Перечень мест расположения контейнерных площадок и график оказания услуг; </w:t>
      </w:r>
    </w:p>
    <w:p>
      <w:pPr>
        <w:pStyle w:val="29"/>
        <w:tabs>
          <w:tab w:val="left" w:pos="1319"/>
        </w:tabs>
        <w:spacing w:after="0" w:line="240" w:lineRule="auto"/>
        <w:ind w:left="-284" w:right="112" w:firstLine="284"/>
        <w:jc w:val="both"/>
        <w:rPr>
          <w:rFonts w:ascii="Times New Roman" w:hAnsi="Times New Roman" w:eastAsia="Calibri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hAnsi="Times New Roman" w:eastAsia="Calibri" w:cs="Times New Roman"/>
          <w:color w:val="auto"/>
          <w:sz w:val="18"/>
          <w:szCs w:val="18"/>
          <w:lang w:eastAsia="en-US" w:bidi="ar-SA"/>
        </w:rPr>
        <w:t>№ 2 - Перечень твердых коммунальных отходов.</w:t>
      </w:r>
    </w:p>
    <w:p>
      <w:pPr>
        <w:pStyle w:val="29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18"/>
          <w:szCs w:val="18"/>
        </w:rPr>
      </w:pPr>
    </w:p>
    <w:p>
      <w:pPr>
        <w:pStyle w:val="29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14. Реквизиты сторон</w:t>
      </w:r>
    </w:p>
    <w:p>
      <w:pPr>
        <w:pStyle w:val="29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2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atLeast"/>
        </w:trPr>
        <w:tc>
          <w:tcPr>
            <w:tcW w:w="5154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оператор: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«Рециклинговая компания» 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2461225916/246001001 ОГРН 1142468022223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адрес: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660018, г. Красноярск, ул. Куйбышева, д.93, офис 124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адрес: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660018, г. Красноярск, ул. Куйбышева, д.93, офис 124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 Реквизиты для потребителей</w:t>
            </w:r>
            <w:r>
              <w:rPr>
                <w:rFonts w:hint="default"/>
                <w:sz w:val="18"/>
                <w:szCs w:val="18"/>
                <w:lang w:val="ru-RU"/>
              </w:rPr>
              <w:t>: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р/счет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40702810331000096443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к/счет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30101810800000000627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040407627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отделение №8646 ПАО Сбербанк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Телефон: +7 (391) 225-99-24 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+7 (391) 225-</w:t>
            </w:r>
            <w:r>
              <w:rPr>
                <w:rFonts w:hint="default"/>
                <w:sz w:val="18"/>
                <w:szCs w:val="18"/>
                <w:lang w:val="ru-RU"/>
              </w:rPr>
              <w:t>00</w:t>
            </w:r>
            <w:r>
              <w:rPr>
                <w:sz w:val="18"/>
                <w:szCs w:val="18"/>
              </w:rPr>
              <w:t xml:space="preserve">-24 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mail: </w:t>
            </w:r>
            <w:r>
              <w:rPr>
                <w:rFonts w:hint="default"/>
                <w:sz w:val="18"/>
                <w:szCs w:val="18"/>
                <w:lang w:val="en-US"/>
              </w:rPr>
              <w:fldChar w:fldCharType="begin"/>
            </w:r>
            <w:r>
              <w:rPr>
                <w:rFonts w:hint="default"/>
                <w:sz w:val="18"/>
                <w:szCs w:val="18"/>
                <w:lang w:val="en-US"/>
              </w:rPr>
              <w:instrText xml:space="preserve"> HYPERLINK "mailto:info@kashalot24.ru" </w:instrText>
            </w:r>
            <w:r>
              <w:rPr>
                <w:rFonts w:hint="default"/>
                <w:sz w:val="18"/>
                <w:szCs w:val="18"/>
                <w:lang w:val="en-US"/>
              </w:rPr>
              <w:fldChar w:fldCharType="separate"/>
            </w:r>
            <w:r>
              <w:rPr>
                <w:rFonts w:hint="default"/>
                <w:sz w:val="18"/>
                <w:szCs w:val="18"/>
                <w:lang w:val="en-US"/>
              </w:rPr>
              <w:t>info@kashalot24.ru</w:t>
            </w:r>
            <w:r>
              <w:rPr>
                <w:rFonts w:hint="default"/>
                <w:sz w:val="18"/>
                <w:szCs w:val="18"/>
                <w:lang w:val="en-US"/>
              </w:rPr>
              <w:fldChar w:fldCharType="end"/>
            </w:r>
          </w:p>
          <w:p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ООО</w:t>
            </w:r>
            <w:r>
              <w:rPr>
                <w:sz w:val="18"/>
                <w:szCs w:val="18"/>
                <w:lang w:val="en-US"/>
              </w:rPr>
              <w:t xml:space="preserve"> «</w:t>
            </w:r>
            <w:r>
              <w:rPr>
                <w:sz w:val="18"/>
                <w:szCs w:val="18"/>
              </w:rPr>
              <w:t>РК</w:t>
            </w:r>
            <w:r>
              <w:rPr>
                <w:sz w:val="18"/>
                <w:szCs w:val="18"/>
                <w:lang w:val="en-US"/>
              </w:rPr>
              <w:t>»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 Т.А. Иванова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5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Потребитель:</w:t>
            </w:r>
          </w:p>
          <w:p>
            <w:pPr>
              <w:widowControl/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</w:t>
            </w:r>
          </w:p>
          <w:p>
            <w:pPr>
              <w:widowControl/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  <w:p>
            <w:pPr>
              <w:widowControl/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ИНН/КПП ______________________</w:t>
            </w:r>
          </w:p>
          <w:p>
            <w:pPr>
              <w:widowControl/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Юридический адрес:</w:t>
            </w:r>
          </w:p>
          <w:p>
            <w:pPr>
              <w:widowControl/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widowControl/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Почтовый адрес:</w:t>
            </w:r>
          </w:p>
          <w:p>
            <w:pPr>
              <w:widowControl/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widowControl/>
              <w:tabs>
                <w:tab w:val="center" w:pos="4181"/>
              </w:tabs>
              <w:suppressAutoHyphens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</w:p>
          <w:p>
            <w:pPr>
              <w:spacing w:after="0" w:line="240" w:lineRule="auto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spacing w:after="0" w:line="240" w:lineRule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spacing w:after="0" w:line="240" w:lineRule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widowControl/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Тел.: ___________________________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E-mail: _________________________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_________________________/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 __________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М.П.</w:t>
            </w:r>
          </w:p>
        </w:tc>
      </w:tr>
    </w:tbl>
    <w:p>
      <w:pPr>
        <w:pStyle w:val="29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outlineLvl w:val="0"/>
        <w:rPr>
          <w:rFonts w:cs="Times New Roman"/>
          <w:b/>
          <w:sz w:val="18"/>
          <w:szCs w:val="18"/>
        </w:rPr>
      </w:pPr>
    </w:p>
    <w:p>
      <w:pPr>
        <w:spacing w:after="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br w:type="page"/>
      </w:r>
    </w:p>
    <w:p>
      <w:pPr>
        <w:spacing w:after="0" w:line="240" w:lineRule="auto"/>
        <w:ind w:left="5814"/>
        <w:jc w:val="right"/>
        <w:outlineLvl w:val="0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Приложение № 1 к Договору </w:t>
      </w:r>
    </w:p>
    <w:p>
      <w:pPr>
        <w:spacing w:after="0" w:line="240" w:lineRule="auto"/>
        <w:jc w:val="right"/>
        <w:outlineLvl w:val="0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№ ___________ от «__» _____202_ года</w:t>
      </w:r>
    </w:p>
    <w:p>
      <w:pPr>
        <w:spacing w:after="0" w:line="240" w:lineRule="auto"/>
        <w:ind w:hanging="142"/>
        <w:jc w:val="right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на оказание услуг по обращению </w:t>
      </w:r>
    </w:p>
    <w:p>
      <w:pPr>
        <w:spacing w:after="0" w:line="240" w:lineRule="auto"/>
        <w:ind w:hanging="142"/>
        <w:jc w:val="right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с твердыми коммунальными отходами</w:t>
      </w:r>
    </w:p>
    <w:p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p>
      <w:pPr>
        <w:spacing w:after="0" w:line="24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Перечень мест расположения контейнерных площадок и график оказания услуг</w:t>
      </w:r>
    </w:p>
    <w:p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tbl>
      <w:tblPr>
        <w:tblStyle w:val="18"/>
        <w:tblW w:w="497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898"/>
        <w:gridCol w:w="1331"/>
        <w:gridCol w:w="1331"/>
        <w:gridCol w:w="2066"/>
        <w:gridCol w:w="1759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331" w:type="pct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Период с</w:t>
            </w:r>
          </w:p>
        </w:tc>
        <w:tc>
          <w:tcPr>
            <w:tcW w:w="458" w:type="pct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Период по</w:t>
            </w:r>
          </w:p>
        </w:tc>
        <w:tc>
          <w:tcPr>
            <w:tcW w:w="679" w:type="pct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Адрес места образования ТКО</w:t>
            </w:r>
          </w:p>
        </w:tc>
        <w:tc>
          <w:tcPr>
            <w:tcW w:w="679" w:type="pct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Адрес места накопления ТКО</w:t>
            </w:r>
          </w:p>
        </w:tc>
        <w:tc>
          <w:tcPr>
            <w:tcW w:w="1054" w:type="pct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Наименование расчетной единицы</w:t>
            </w:r>
          </w:p>
        </w:tc>
        <w:tc>
          <w:tcPr>
            <w:tcW w:w="897" w:type="pct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Количество расчетных единиц</w:t>
            </w:r>
          </w:p>
        </w:tc>
        <w:tc>
          <w:tcPr>
            <w:tcW w:w="899" w:type="pct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Периодичность вывоза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31" w:type="pct"/>
          </w:tcPr>
          <w:p>
            <w:pPr>
              <w:spacing w:after="0" w:line="240" w:lineRule="auto"/>
              <w:rPr>
                <w:rFonts w:cs="Times New Roman"/>
                <w:kern w:val="20"/>
                <w:sz w:val="18"/>
                <w:szCs w:val="18"/>
              </w:rPr>
            </w:pPr>
          </w:p>
        </w:tc>
        <w:tc>
          <w:tcPr>
            <w:tcW w:w="458" w:type="pct"/>
          </w:tcPr>
          <w:p>
            <w:pPr>
              <w:spacing w:after="0" w:line="240" w:lineRule="auto"/>
              <w:rPr>
                <w:rFonts w:cs="Times New Roman"/>
                <w:kern w:val="20"/>
                <w:sz w:val="18"/>
                <w:szCs w:val="18"/>
              </w:rPr>
            </w:pPr>
          </w:p>
        </w:tc>
        <w:tc>
          <w:tcPr>
            <w:tcW w:w="679" w:type="pct"/>
          </w:tcPr>
          <w:p>
            <w:pPr>
              <w:spacing w:after="0" w:line="240" w:lineRule="auto"/>
              <w:rPr>
                <w:rFonts w:cs="Times New Roman"/>
                <w:kern w:val="20"/>
                <w:sz w:val="18"/>
                <w:szCs w:val="18"/>
              </w:rPr>
            </w:pPr>
          </w:p>
        </w:tc>
        <w:tc>
          <w:tcPr>
            <w:tcW w:w="679" w:type="pct"/>
          </w:tcPr>
          <w:p>
            <w:pPr>
              <w:spacing w:after="0" w:line="240" w:lineRule="auto"/>
              <w:rPr>
                <w:rFonts w:cs="Times New Roman"/>
                <w:kern w:val="20"/>
                <w:sz w:val="18"/>
                <w:szCs w:val="18"/>
              </w:rPr>
            </w:pPr>
          </w:p>
        </w:tc>
        <w:tc>
          <w:tcPr>
            <w:tcW w:w="1054" w:type="pct"/>
          </w:tcPr>
          <w:p>
            <w:pPr>
              <w:spacing w:after="0" w:line="240" w:lineRule="auto"/>
              <w:rPr>
                <w:rFonts w:cs="Times New Roman"/>
                <w:kern w:val="20"/>
                <w:sz w:val="18"/>
                <w:szCs w:val="18"/>
              </w:rPr>
            </w:pPr>
          </w:p>
        </w:tc>
        <w:tc>
          <w:tcPr>
            <w:tcW w:w="897" w:type="pct"/>
          </w:tcPr>
          <w:p>
            <w:pPr>
              <w:spacing w:after="0" w:line="240" w:lineRule="auto"/>
              <w:rPr>
                <w:rFonts w:cs="Times New Roman"/>
                <w:kern w:val="20"/>
                <w:sz w:val="18"/>
                <w:szCs w:val="18"/>
              </w:rPr>
            </w:pPr>
          </w:p>
        </w:tc>
        <w:tc>
          <w:tcPr>
            <w:tcW w:w="899" w:type="pct"/>
          </w:tcPr>
          <w:p>
            <w:pPr>
              <w:spacing w:after="0" w:line="240" w:lineRule="auto"/>
              <w:rPr>
                <w:rFonts w:cs="Times New Roman"/>
                <w:kern w:val="20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cs="Times New Roman"/>
          <w:kern w:val="20"/>
          <w:sz w:val="18"/>
          <w:szCs w:val="1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9"/>
        <w:gridCol w:w="4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оператор: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ООО «РК»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Потребитель: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______________________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__________________/ Т.А. Иванова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М.П.</w:t>
            </w:r>
          </w:p>
        </w:tc>
        <w:tc>
          <w:tcPr>
            <w:tcW w:w="5102" w:type="dxa"/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__________________ / _____________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М.П.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cs="Times New Roman"/>
          <w:kern w:val="20"/>
          <w:sz w:val="18"/>
          <w:szCs w:val="18"/>
        </w:rPr>
      </w:pPr>
    </w:p>
    <w:p>
      <w:pPr>
        <w:spacing w:after="0" w:line="240" w:lineRule="auto"/>
        <w:rPr>
          <w:rFonts w:cs="Times New Roman"/>
          <w:kern w:val="20"/>
          <w:sz w:val="18"/>
          <w:szCs w:val="18"/>
        </w:rPr>
      </w:pPr>
    </w:p>
    <w:p>
      <w:pPr>
        <w:spacing w:after="0" w:line="240" w:lineRule="auto"/>
        <w:rPr>
          <w:rFonts w:cs="Times New Roman"/>
          <w:sz w:val="18"/>
          <w:szCs w:val="18"/>
        </w:rPr>
      </w:pPr>
    </w:p>
    <w:p>
      <w:pPr>
        <w:widowControl/>
        <w:suppressAutoHyphens w:val="0"/>
        <w:spacing w:after="0" w:line="240" w:lineRule="auto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>
      <w:pPr>
        <w:widowControl/>
        <w:suppressAutoHyphens w:val="0"/>
        <w:spacing w:after="0" w:line="240" w:lineRule="auto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>
      <w:pPr>
        <w:spacing w:after="0" w:line="240" w:lineRule="auto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br w:type="page"/>
      </w:r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Приложение № 2 к Договору </w:t>
      </w:r>
    </w:p>
    <w:p>
      <w:pPr>
        <w:widowControl/>
        <w:suppressAutoHyphens w:val="0"/>
        <w:spacing w:after="0" w:line="240" w:lineRule="auto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№ _____________ от «__»_______202_ года  </w:t>
      </w:r>
    </w:p>
    <w:p>
      <w:pPr>
        <w:widowControl/>
        <w:suppressAutoHyphens w:val="0"/>
        <w:spacing w:after="0" w:line="240" w:lineRule="auto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на оказание услуг по обращению </w:t>
      </w:r>
    </w:p>
    <w:p>
      <w:pPr>
        <w:widowControl/>
        <w:suppressAutoHyphens w:val="0"/>
        <w:spacing w:after="0" w:line="240" w:lineRule="auto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с твердыми коммунальными отходами </w:t>
      </w:r>
    </w:p>
    <w:p>
      <w:pPr>
        <w:widowControl/>
        <w:suppressAutoHyphens w:val="0"/>
        <w:spacing w:after="0" w:line="240" w:lineRule="auto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>
      <w:pPr>
        <w:widowControl/>
        <w:suppressAutoHyphens w:val="0"/>
        <w:spacing w:after="0" w:line="240" w:lineRule="auto"/>
        <w:jc w:val="center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>
      <w:pPr>
        <w:widowControl/>
        <w:suppressAutoHyphens w:val="0"/>
        <w:spacing w:after="0" w:line="240" w:lineRule="auto"/>
        <w:jc w:val="center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>
      <w:pPr>
        <w:widowControl/>
        <w:suppressAutoHyphens w:val="0"/>
        <w:spacing w:after="0" w:line="240" w:lineRule="auto"/>
        <w:jc w:val="center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>Перечень твердых коммунальных отходов Потребителя</w:t>
      </w:r>
    </w:p>
    <w:tbl>
      <w:tblPr>
        <w:tblStyle w:val="18"/>
        <w:tblW w:w="496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837"/>
        <w:gridCol w:w="2488"/>
        <w:gridCol w:w="1772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974" w:type="pct"/>
          </w:tcPr>
          <w:p>
            <w:pPr>
              <w:widowControl/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bookmarkStart w:id="8" w:name="_GoBack"/>
            <w:r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Наименование отходов в соответствии с ФККО</w:t>
            </w:r>
          </w:p>
        </w:tc>
        <w:tc>
          <w:tcPr>
            <w:tcW w:w="939" w:type="pct"/>
          </w:tcPr>
          <w:p>
            <w:pPr>
              <w:widowControl/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Код по ФККО</w:t>
            </w:r>
          </w:p>
        </w:tc>
        <w:tc>
          <w:tcPr>
            <w:tcW w:w="1272" w:type="pct"/>
          </w:tcPr>
          <w:p>
            <w:pPr>
              <w:widowControl/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Класс опасности</w:t>
            </w:r>
          </w:p>
        </w:tc>
        <w:tc>
          <w:tcPr>
            <w:tcW w:w="906" w:type="pct"/>
          </w:tcPr>
          <w:p>
            <w:pPr>
              <w:widowControl/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Масса в месяц, тонн</w:t>
            </w:r>
          </w:p>
        </w:tc>
        <w:tc>
          <w:tcPr>
            <w:tcW w:w="906" w:type="pct"/>
          </w:tcPr>
          <w:p>
            <w:pPr>
              <w:widowControl/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Объем в месяц, м3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974" w:type="pct"/>
          </w:tcPr>
          <w:p>
            <w:pPr>
              <w:widowControl/>
              <w:suppressAutoHyphens w:val="0"/>
              <w:spacing w:after="0" w:line="240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39" w:type="pct"/>
          </w:tcPr>
          <w:p>
            <w:pPr>
              <w:widowControl/>
              <w:suppressAutoHyphens w:val="0"/>
              <w:spacing w:after="0" w:line="240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2" w:type="pct"/>
          </w:tcPr>
          <w:p>
            <w:pPr>
              <w:widowControl/>
              <w:suppressAutoHyphens w:val="0"/>
              <w:spacing w:after="0" w:line="240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06" w:type="pct"/>
          </w:tcPr>
          <w:p>
            <w:pPr>
              <w:widowControl/>
              <w:suppressAutoHyphens w:val="0"/>
              <w:spacing w:after="0" w:line="240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06" w:type="pct"/>
          </w:tcPr>
          <w:p>
            <w:pPr>
              <w:widowControl/>
              <w:suppressAutoHyphens w:val="0"/>
              <w:spacing w:after="0" w:line="240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74" w:type="pct"/>
          </w:tcPr>
          <w:p>
            <w:pPr>
              <w:widowControl/>
              <w:suppressAutoHyphens w:val="0"/>
              <w:spacing w:after="0" w:line="240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ВСЕГО</w:t>
            </w:r>
          </w:p>
        </w:tc>
        <w:tc>
          <w:tcPr>
            <w:tcW w:w="939" w:type="pct"/>
          </w:tcPr>
          <w:p>
            <w:pPr>
              <w:widowControl/>
              <w:suppressAutoHyphens w:val="0"/>
              <w:spacing w:after="0" w:line="240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2" w:type="pct"/>
          </w:tcPr>
          <w:p>
            <w:pPr>
              <w:widowControl/>
              <w:suppressAutoHyphens w:val="0"/>
              <w:spacing w:after="0" w:line="240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06" w:type="pct"/>
          </w:tcPr>
          <w:p>
            <w:pPr>
              <w:widowControl/>
              <w:suppressAutoHyphens w:val="0"/>
              <w:spacing w:after="0" w:line="240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06" w:type="pct"/>
          </w:tcPr>
          <w:p>
            <w:pPr>
              <w:widowControl/>
              <w:suppressAutoHyphens w:val="0"/>
              <w:spacing w:after="0" w:line="240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bookmarkEnd w:id="8"/>
    </w:tbl>
    <w:p>
      <w:pPr>
        <w:widowControl/>
        <w:suppressAutoHyphens w:val="0"/>
        <w:spacing w:after="0" w:line="240" w:lineRule="auto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>
      <w:pPr>
        <w:widowControl/>
        <w:suppressAutoHyphens w:val="0"/>
        <w:spacing w:after="0" w:line="240" w:lineRule="auto"/>
        <w:ind w:left="142" w:firstLine="426"/>
        <w:jc w:val="center"/>
        <w:outlineLvl w:val="1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9"/>
        <w:gridCol w:w="4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оператор: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ООО «РК»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Потребитель: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______________________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__________________/ Т.А. Иванова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М.П.</w:t>
            </w:r>
          </w:p>
        </w:tc>
        <w:tc>
          <w:tcPr>
            <w:tcW w:w="5102" w:type="dxa"/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__________________ / _____________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М.П.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>
      <w:pPr>
        <w:widowControl/>
        <w:suppressAutoHyphens w:val="0"/>
        <w:spacing w:after="0" w:line="240" w:lineRule="auto"/>
        <w:jc w:val="center"/>
        <w:outlineLvl w:val="1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bookmarkEnd w:id="7"/>
    <w:p>
      <w:pPr>
        <w:widowControl/>
        <w:suppressAutoHyphens w:val="0"/>
        <w:spacing w:after="0" w:line="240" w:lineRule="auto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>
      <w:pPr>
        <w:widowControl/>
        <w:suppressAutoHyphens w:val="0"/>
        <w:spacing w:after="0" w:line="240" w:lineRule="auto"/>
        <w:jc w:val="right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>
      <w:pPr>
        <w:tabs>
          <w:tab w:val="left" w:pos="3687"/>
        </w:tabs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  <w:r>
        <w:rPr>
          <w:rFonts w:eastAsia="Calibri" w:cs="Times New Roman"/>
          <w:sz w:val="18"/>
          <w:szCs w:val="18"/>
          <w:lang w:eastAsia="en-US" w:bidi="ar-SA"/>
        </w:rPr>
        <w:tab/>
      </w:r>
    </w:p>
    <w:p>
      <w:pPr>
        <w:tabs>
          <w:tab w:val="left" w:pos="3687"/>
        </w:tabs>
        <w:spacing w:after="0" w:line="240" w:lineRule="auto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sz w:val="18"/>
          <w:szCs w:val="18"/>
          <w:lang w:eastAsia="en-US" w:bidi="ar-SA"/>
        </w:rPr>
        <w:tab/>
      </w:r>
    </w:p>
    <w:sectPr>
      <w:headerReference r:id="rId6" w:type="first"/>
      <w:headerReference r:id="rId5" w:type="default"/>
      <w:footerReference r:id="rId7" w:type="default"/>
      <w:pgSz w:w="11906" w:h="16838"/>
      <w:pgMar w:top="567" w:right="567" w:bottom="567" w:left="1701" w:header="567" w:footer="868" w:gutter="0"/>
      <w:cols w:space="720" w:num="1"/>
      <w:formProt w:val="0"/>
      <w:titlePg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PFDinTextCondPro-Regular">
    <w:altName w:val="MS Gothic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right" w:pos="10205"/>
        <w:tab w:val="clear" w:pos="4677"/>
        <w:tab w:val="clear" w:pos="9355"/>
      </w:tabs>
    </w:pPr>
    <w:r>
      <w:rPr>
        <w:sz w:val="18"/>
        <w:szCs w:val="18"/>
      </w:rPr>
      <w:t>Региональный оператор __________________</w:t>
    </w:r>
    <w:r>
      <w:rPr>
        <w:sz w:val="18"/>
        <w:szCs w:val="18"/>
      </w:rPr>
      <w:tab/>
    </w:r>
    <w:r>
      <w:rPr>
        <w:sz w:val="18"/>
        <w:szCs w:val="18"/>
      </w:rPr>
      <w:t xml:space="preserve">Потребитель __________________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ascii="Calibri" w:hAnsi="Calibri" w:cs="Calibri"/>
        <w:color w:val="1F497D"/>
        <w:sz w:val="22"/>
        <w:szCs w:val="22"/>
        <w:lang w:eastAsia="ru-RU" w:bidi="ar-SA"/>
      </w:rPr>
      <w:drawing>
        <wp:inline distT="0" distB="0" distL="0" distR="0">
          <wp:extent cx="700405" cy="697865"/>
          <wp:effectExtent l="0" t="0" r="0" b="0"/>
          <wp:docPr id="2" name="Рисунок 1" descr="C:\Users\sv\AppData\Local\Microsoft\Windows\INetCache\Content.Word\LOGO KASHALOT_LOGO RUS VERTICAL one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913" cy="69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ascii="Calibri" w:hAnsi="Calibri" w:cs="Calibri"/>
        <w:color w:val="1F497D"/>
        <w:sz w:val="22"/>
        <w:szCs w:val="22"/>
        <w:lang w:eastAsia="ru-RU" w:bidi="ar-SA"/>
      </w:rPr>
      <w:drawing>
        <wp:inline distT="0" distB="0" distL="0" distR="0">
          <wp:extent cx="700405" cy="697865"/>
          <wp:effectExtent l="0" t="0" r="5080" b="0"/>
          <wp:docPr id="3" name="Рисунок 1" descr="C:\Users\sv\AppData\Local\Microsoft\Windows\INetCache\Content.Word\LOGO KASHALOT_LOGO RUS VERTICAL one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913" cy="69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F74A88"/>
    <w:multiLevelType w:val="multilevel"/>
    <w:tmpl w:val="0AF74A88"/>
    <w:lvl w:ilvl="0" w:tentative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527C"/>
    <w:multiLevelType w:val="multilevel"/>
    <w:tmpl w:val="1E41527C"/>
    <w:lvl w:ilvl="0" w:tentative="0">
      <w:start w:val="6"/>
      <w:numFmt w:val="decimal"/>
      <w:lvlText w:val="%1."/>
      <w:lvlJc w:val="left"/>
      <w:pPr>
        <w:ind w:left="3060" w:hanging="360"/>
      </w:pPr>
    </w:lvl>
    <w:lvl w:ilvl="1" w:tentative="0">
      <w:start w:val="1"/>
      <w:numFmt w:val="decimal"/>
      <w:lvlText w:val="%1.%2."/>
      <w:lvlJc w:val="left"/>
      <w:pPr>
        <w:ind w:left="3105" w:hanging="405"/>
      </w:pPr>
      <w:rPr>
        <w:b/>
      </w:rPr>
    </w:lvl>
    <w:lvl w:ilvl="2" w:tentative="0">
      <w:start w:val="1"/>
      <w:numFmt w:val="decimal"/>
      <w:lvlText w:val="%1.%2.%3."/>
      <w:lvlJc w:val="left"/>
      <w:pPr>
        <w:ind w:left="3420" w:hanging="720"/>
      </w:pPr>
      <w:rPr>
        <w:b/>
      </w:rPr>
    </w:lvl>
    <w:lvl w:ilvl="3" w:tentative="0">
      <w:start w:val="1"/>
      <w:numFmt w:val="decimal"/>
      <w:lvlText w:val="%1.%2.%3.%4."/>
      <w:lvlJc w:val="left"/>
      <w:pPr>
        <w:ind w:left="3420" w:hanging="720"/>
      </w:pPr>
      <w:rPr>
        <w:b/>
      </w:rPr>
    </w:lvl>
    <w:lvl w:ilvl="4" w:tentative="0">
      <w:start w:val="1"/>
      <w:numFmt w:val="decimal"/>
      <w:lvlText w:val="%1.%2.%3.%4.%5."/>
      <w:lvlJc w:val="left"/>
      <w:pPr>
        <w:ind w:left="3780" w:hanging="1080"/>
      </w:pPr>
      <w:rPr>
        <w:b/>
      </w:rPr>
    </w:lvl>
    <w:lvl w:ilvl="5" w:tentative="0">
      <w:start w:val="1"/>
      <w:numFmt w:val="decimal"/>
      <w:lvlText w:val="%1.%2.%3.%4.%5.%6."/>
      <w:lvlJc w:val="left"/>
      <w:pPr>
        <w:ind w:left="3780" w:hanging="1080"/>
      </w:pPr>
      <w:rPr>
        <w:b/>
      </w:rPr>
    </w:lvl>
    <w:lvl w:ilvl="6" w:tentative="0">
      <w:start w:val="1"/>
      <w:numFmt w:val="decimal"/>
      <w:lvlText w:val="%1.%2.%3.%4.%5.%6.%7."/>
      <w:lvlJc w:val="left"/>
      <w:pPr>
        <w:ind w:left="4140" w:hanging="1440"/>
      </w:pPr>
      <w:rPr>
        <w:b/>
      </w:rPr>
    </w:lvl>
    <w:lvl w:ilvl="7" w:tentative="0">
      <w:start w:val="1"/>
      <w:numFmt w:val="decimal"/>
      <w:lvlText w:val="%1.%2.%3.%4.%5.%6.%7.%8."/>
      <w:lvlJc w:val="left"/>
      <w:pPr>
        <w:ind w:left="4140" w:hanging="1440"/>
      </w:pPr>
      <w:rPr>
        <w:b/>
      </w:rPr>
    </w:lvl>
    <w:lvl w:ilvl="8" w:tentative="0">
      <w:start w:val="1"/>
      <w:numFmt w:val="decimal"/>
      <w:lvlText w:val="%1.%2.%3.%4.%5.%6.%7.%8.%9."/>
      <w:lvlJc w:val="left"/>
      <w:pPr>
        <w:ind w:left="4500" w:hanging="1800"/>
      </w:pPr>
      <w:rPr>
        <w:b/>
      </w:rPr>
    </w:lvl>
  </w:abstractNum>
  <w:abstractNum w:abstractNumId="2">
    <w:nsid w:val="5461563D"/>
    <w:multiLevelType w:val="multilevel"/>
    <w:tmpl w:val="5461563D"/>
    <w:lvl w:ilvl="0" w:tentative="0">
      <w:start w:val="8"/>
      <w:numFmt w:val="decimal"/>
      <w:lvlText w:val="%1."/>
      <w:lvlJc w:val="left"/>
      <w:pPr>
        <w:ind w:left="360" w:hanging="360"/>
      </w:pPr>
    </w:lvl>
    <w:lvl w:ilvl="1" w:tentative="0">
      <w:start w:val="5"/>
      <w:numFmt w:val="decimal"/>
      <w:lvlText w:val="%1.%2."/>
      <w:lvlJc w:val="left"/>
      <w:pPr>
        <w:ind w:left="360" w:hanging="360"/>
      </w:pPr>
      <w:rPr>
        <w:b/>
      </w:rPr>
    </w:lvl>
    <w:lvl w:ilvl="2" w:tentative="0">
      <w:start w:val="1"/>
      <w:numFmt w:val="decimal"/>
      <w:lvlText w:val="%1.%2.%3."/>
      <w:lvlJc w:val="left"/>
      <w:pPr>
        <w:ind w:left="720" w:hanging="720"/>
      </w:pPr>
    </w:lvl>
    <w:lvl w:ilvl="3" w:tentative="0">
      <w:start w:val="1"/>
      <w:numFmt w:val="decimal"/>
      <w:lvlText w:val="%1.%2.%3.%4."/>
      <w:lvlJc w:val="left"/>
      <w:pPr>
        <w:ind w:left="720" w:hanging="720"/>
      </w:pPr>
    </w:lvl>
    <w:lvl w:ilvl="4" w:tentative="0">
      <w:start w:val="1"/>
      <w:numFmt w:val="decimal"/>
      <w:lvlText w:val="%1.%2.%3.%4.%5."/>
      <w:lvlJc w:val="left"/>
      <w:pPr>
        <w:ind w:left="1080" w:hanging="1080"/>
      </w:pPr>
    </w:lvl>
    <w:lvl w:ilvl="5" w:tentative="0">
      <w:start w:val="1"/>
      <w:numFmt w:val="decimal"/>
      <w:lvlText w:val="%1.%2.%3.%4.%5.%6."/>
      <w:lvlJc w:val="left"/>
      <w:pPr>
        <w:ind w:left="1080" w:hanging="1080"/>
      </w:pPr>
    </w:lvl>
    <w:lvl w:ilvl="6" w:tentative="0">
      <w:start w:val="1"/>
      <w:numFmt w:val="decimal"/>
      <w:lvlText w:val="%1.%2.%3.%4.%5.%6.%7."/>
      <w:lvlJc w:val="left"/>
      <w:pPr>
        <w:ind w:left="1080" w:hanging="1080"/>
      </w:p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</w:lvl>
    <w:lvl w:ilvl="8" w:tentative="0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60C37670"/>
    <w:multiLevelType w:val="multilevel"/>
    <w:tmpl w:val="60C37670"/>
    <w:lvl w:ilvl="0" w:tentative="0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5040" w:hanging="360"/>
      </w:pPr>
    </w:lvl>
    <w:lvl w:ilvl="2" w:tentative="0">
      <w:start w:val="1"/>
      <w:numFmt w:val="lowerRoman"/>
      <w:lvlText w:val="%3."/>
      <w:lvlJc w:val="right"/>
      <w:pPr>
        <w:ind w:left="5760" w:hanging="180"/>
      </w:pPr>
    </w:lvl>
    <w:lvl w:ilvl="3" w:tentative="0">
      <w:start w:val="1"/>
      <w:numFmt w:val="decimal"/>
      <w:lvlText w:val="%4."/>
      <w:lvlJc w:val="left"/>
      <w:pPr>
        <w:ind w:left="6480" w:hanging="360"/>
      </w:pPr>
    </w:lvl>
    <w:lvl w:ilvl="4" w:tentative="0">
      <w:start w:val="1"/>
      <w:numFmt w:val="lowerLetter"/>
      <w:lvlText w:val="%5."/>
      <w:lvlJc w:val="left"/>
      <w:pPr>
        <w:ind w:left="7200" w:hanging="360"/>
      </w:pPr>
    </w:lvl>
    <w:lvl w:ilvl="5" w:tentative="0">
      <w:start w:val="1"/>
      <w:numFmt w:val="lowerRoman"/>
      <w:lvlText w:val="%6."/>
      <w:lvlJc w:val="right"/>
      <w:pPr>
        <w:ind w:left="7920" w:hanging="180"/>
      </w:pPr>
    </w:lvl>
    <w:lvl w:ilvl="6" w:tentative="0">
      <w:start w:val="1"/>
      <w:numFmt w:val="decimal"/>
      <w:lvlText w:val="%7."/>
      <w:lvlJc w:val="left"/>
      <w:pPr>
        <w:ind w:left="8640" w:hanging="360"/>
      </w:pPr>
    </w:lvl>
    <w:lvl w:ilvl="7" w:tentative="0">
      <w:start w:val="1"/>
      <w:numFmt w:val="lowerLetter"/>
      <w:lvlText w:val="%8."/>
      <w:lvlJc w:val="left"/>
      <w:pPr>
        <w:ind w:left="9360" w:hanging="360"/>
      </w:pPr>
    </w:lvl>
    <w:lvl w:ilvl="8" w:tentative="0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23"/>
    <w:rsid w:val="00010419"/>
    <w:rsid w:val="00012138"/>
    <w:rsid w:val="0002342D"/>
    <w:rsid w:val="00041A24"/>
    <w:rsid w:val="00050600"/>
    <w:rsid w:val="000832AF"/>
    <w:rsid w:val="00085743"/>
    <w:rsid w:val="00093EF0"/>
    <w:rsid w:val="000A303F"/>
    <w:rsid w:val="000A7C4A"/>
    <w:rsid w:val="000B0B7C"/>
    <w:rsid w:val="000B48E7"/>
    <w:rsid w:val="000E160F"/>
    <w:rsid w:val="000F2560"/>
    <w:rsid w:val="00111C61"/>
    <w:rsid w:val="0011570D"/>
    <w:rsid w:val="00121126"/>
    <w:rsid w:val="0016327B"/>
    <w:rsid w:val="00164ED0"/>
    <w:rsid w:val="001718FF"/>
    <w:rsid w:val="00174E5F"/>
    <w:rsid w:val="0018256F"/>
    <w:rsid w:val="0018578F"/>
    <w:rsid w:val="0019419D"/>
    <w:rsid w:val="001B567E"/>
    <w:rsid w:val="001B587A"/>
    <w:rsid w:val="001C3724"/>
    <w:rsid w:val="001E75BE"/>
    <w:rsid w:val="001F050D"/>
    <w:rsid w:val="00201D03"/>
    <w:rsid w:val="002239CA"/>
    <w:rsid w:val="00225F33"/>
    <w:rsid w:val="00234D03"/>
    <w:rsid w:val="00243F2B"/>
    <w:rsid w:val="00244D94"/>
    <w:rsid w:val="0025045F"/>
    <w:rsid w:val="002952E2"/>
    <w:rsid w:val="00295B4A"/>
    <w:rsid w:val="002A6073"/>
    <w:rsid w:val="002C665D"/>
    <w:rsid w:val="002C6BDF"/>
    <w:rsid w:val="002F4DC3"/>
    <w:rsid w:val="002F56B2"/>
    <w:rsid w:val="003130ED"/>
    <w:rsid w:val="003317B5"/>
    <w:rsid w:val="00342A88"/>
    <w:rsid w:val="00365DB0"/>
    <w:rsid w:val="00385D03"/>
    <w:rsid w:val="003864BA"/>
    <w:rsid w:val="0039403E"/>
    <w:rsid w:val="003A4355"/>
    <w:rsid w:val="003D3C05"/>
    <w:rsid w:val="003D7BB8"/>
    <w:rsid w:val="003E7B02"/>
    <w:rsid w:val="003F6787"/>
    <w:rsid w:val="0040250C"/>
    <w:rsid w:val="00406126"/>
    <w:rsid w:val="00406900"/>
    <w:rsid w:val="004107D8"/>
    <w:rsid w:val="00423A55"/>
    <w:rsid w:val="00427B0F"/>
    <w:rsid w:val="00442CD3"/>
    <w:rsid w:val="00446740"/>
    <w:rsid w:val="00452E97"/>
    <w:rsid w:val="004543C6"/>
    <w:rsid w:val="00470DB3"/>
    <w:rsid w:val="0048279A"/>
    <w:rsid w:val="00485F8C"/>
    <w:rsid w:val="004A3F6B"/>
    <w:rsid w:val="004B0C8C"/>
    <w:rsid w:val="004C09D4"/>
    <w:rsid w:val="004C297B"/>
    <w:rsid w:val="004D392A"/>
    <w:rsid w:val="004E29FD"/>
    <w:rsid w:val="004F4B8C"/>
    <w:rsid w:val="005064E4"/>
    <w:rsid w:val="00510937"/>
    <w:rsid w:val="00511E83"/>
    <w:rsid w:val="005219EA"/>
    <w:rsid w:val="0052752F"/>
    <w:rsid w:val="005345E1"/>
    <w:rsid w:val="005641C6"/>
    <w:rsid w:val="00573E08"/>
    <w:rsid w:val="00584873"/>
    <w:rsid w:val="00585DBE"/>
    <w:rsid w:val="005963DF"/>
    <w:rsid w:val="005C7EE6"/>
    <w:rsid w:val="005D2F6D"/>
    <w:rsid w:val="005D7EE6"/>
    <w:rsid w:val="005E002B"/>
    <w:rsid w:val="005E279C"/>
    <w:rsid w:val="005F6DDD"/>
    <w:rsid w:val="00610777"/>
    <w:rsid w:val="00611E84"/>
    <w:rsid w:val="006218A7"/>
    <w:rsid w:val="006316CD"/>
    <w:rsid w:val="0063568C"/>
    <w:rsid w:val="006451BC"/>
    <w:rsid w:val="00652DFD"/>
    <w:rsid w:val="00656266"/>
    <w:rsid w:val="00656D4B"/>
    <w:rsid w:val="0066070C"/>
    <w:rsid w:val="00690E18"/>
    <w:rsid w:val="006C0EB3"/>
    <w:rsid w:val="006D3A68"/>
    <w:rsid w:val="006E7706"/>
    <w:rsid w:val="006F531F"/>
    <w:rsid w:val="006F6ADD"/>
    <w:rsid w:val="007158B0"/>
    <w:rsid w:val="007162DD"/>
    <w:rsid w:val="00716389"/>
    <w:rsid w:val="0076301A"/>
    <w:rsid w:val="0076684A"/>
    <w:rsid w:val="007670D7"/>
    <w:rsid w:val="007728E8"/>
    <w:rsid w:val="00777418"/>
    <w:rsid w:val="0078082C"/>
    <w:rsid w:val="00783705"/>
    <w:rsid w:val="007B21D9"/>
    <w:rsid w:val="007B3145"/>
    <w:rsid w:val="007B67C0"/>
    <w:rsid w:val="007C25DD"/>
    <w:rsid w:val="007C2E64"/>
    <w:rsid w:val="007C3B03"/>
    <w:rsid w:val="007D6AC6"/>
    <w:rsid w:val="007D743D"/>
    <w:rsid w:val="007E34DA"/>
    <w:rsid w:val="007F70E7"/>
    <w:rsid w:val="00826BEE"/>
    <w:rsid w:val="00831971"/>
    <w:rsid w:val="00853C2D"/>
    <w:rsid w:val="00855B92"/>
    <w:rsid w:val="00860C52"/>
    <w:rsid w:val="008628F8"/>
    <w:rsid w:val="0087743A"/>
    <w:rsid w:val="00880844"/>
    <w:rsid w:val="008835C1"/>
    <w:rsid w:val="008872CF"/>
    <w:rsid w:val="0089426E"/>
    <w:rsid w:val="008A3431"/>
    <w:rsid w:val="008B1570"/>
    <w:rsid w:val="008B3FA2"/>
    <w:rsid w:val="008B45B4"/>
    <w:rsid w:val="008B6746"/>
    <w:rsid w:val="008B7E46"/>
    <w:rsid w:val="008D6559"/>
    <w:rsid w:val="00911B8D"/>
    <w:rsid w:val="009123A8"/>
    <w:rsid w:val="00915CA7"/>
    <w:rsid w:val="00926520"/>
    <w:rsid w:val="00944936"/>
    <w:rsid w:val="00955DEF"/>
    <w:rsid w:val="009645BC"/>
    <w:rsid w:val="00967958"/>
    <w:rsid w:val="009911BF"/>
    <w:rsid w:val="009945E1"/>
    <w:rsid w:val="009A07FB"/>
    <w:rsid w:val="009A1F64"/>
    <w:rsid w:val="009A4264"/>
    <w:rsid w:val="009A534F"/>
    <w:rsid w:val="009C6AA7"/>
    <w:rsid w:val="009F184A"/>
    <w:rsid w:val="009F2442"/>
    <w:rsid w:val="009F5111"/>
    <w:rsid w:val="009F6153"/>
    <w:rsid w:val="009F7F78"/>
    <w:rsid w:val="00A133C6"/>
    <w:rsid w:val="00A148F9"/>
    <w:rsid w:val="00A308C2"/>
    <w:rsid w:val="00A3692E"/>
    <w:rsid w:val="00A4098F"/>
    <w:rsid w:val="00A5036C"/>
    <w:rsid w:val="00A51AD1"/>
    <w:rsid w:val="00A561A9"/>
    <w:rsid w:val="00A64E0E"/>
    <w:rsid w:val="00A72793"/>
    <w:rsid w:val="00A72891"/>
    <w:rsid w:val="00A87000"/>
    <w:rsid w:val="00AC7D3D"/>
    <w:rsid w:val="00AD750C"/>
    <w:rsid w:val="00B04595"/>
    <w:rsid w:val="00B07F23"/>
    <w:rsid w:val="00B2492A"/>
    <w:rsid w:val="00B31D4E"/>
    <w:rsid w:val="00B634B4"/>
    <w:rsid w:val="00B77813"/>
    <w:rsid w:val="00B83E63"/>
    <w:rsid w:val="00B8738C"/>
    <w:rsid w:val="00B962D5"/>
    <w:rsid w:val="00BA724B"/>
    <w:rsid w:val="00BA79D4"/>
    <w:rsid w:val="00BB03A6"/>
    <w:rsid w:val="00BB1FF0"/>
    <w:rsid w:val="00BB2A15"/>
    <w:rsid w:val="00BB469E"/>
    <w:rsid w:val="00BB6BA6"/>
    <w:rsid w:val="00BC58A8"/>
    <w:rsid w:val="00BD43FE"/>
    <w:rsid w:val="00BF7351"/>
    <w:rsid w:val="00C039C0"/>
    <w:rsid w:val="00C129E9"/>
    <w:rsid w:val="00C23709"/>
    <w:rsid w:val="00C35168"/>
    <w:rsid w:val="00C362BE"/>
    <w:rsid w:val="00C4128A"/>
    <w:rsid w:val="00C53529"/>
    <w:rsid w:val="00C76E00"/>
    <w:rsid w:val="00C87CBB"/>
    <w:rsid w:val="00C93C1A"/>
    <w:rsid w:val="00C9551C"/>
    <w:rsid w:val="00CA6672"/>
    <w:rsid w:val="00CB19CC"/>
    <w:rsid w:val="00CB35D0"/>
    <w:rsid w:val="00CB7709"/>
    <w:rsid w:val="00CE203C"/>
    <w:rsid w:val="00CE6E30"/>
    <w:rsid w:val="00CE7DCD"/>
    <w:rsid w:val="00D04751"/>
    <w:rsid w:val="00D05CFA"/>
    <w:rsid w:val="00D05D09"/>
    <w:rsid w:val="00D42DEB"/>
    <w:rsid w:val="00D53428"/>
    <w:rsid w:val="00D6279B"/>
    <w:rsid w:val="00D6415B"/>
    <w:rsid w:val="00D731C3"/>
    <w:rsid w:val="00D733E2"/>
    <w:rsid w:val="00D831CB"/>
    <w:rsid w:val="00D951C5"/>
    <w:rsid w:val="00DA0F05"/>
    <w:rsid w:val="00DC6FD9"/>
    <w:rsid w:val="00DF2AEB"/>
    <w:rsid w:val="00E01C61"/>
    <w:rsid w:val="00E0262E"/>
    <w:rsid w:val="00E20C45"/>
    <w:rsid w:val="00E210B7"/>
    <w:rsid w:val="00E27044"/>
    <w:rsid w:val="00E86A13"/>
    <w:rsid w:val="00E91C89"/>
    <w:rsid w:val="00EA6D8A"/>
    <w:rsid w:val="00EB28E6"/>
    <w:rsid w:val="00EB6D42"/>
    <w:rsid w:val="00EC1CCA"/>
    <w:rsid w:val="00F00D78"/>
    <w:rsid w:val="00F01C43"/>
    <w:rsid w:val="00F065BC"/>
    <w:rsid w:val="00F11ADC"/>
    <w:rsid w:val="00F4159A"/>
    <w:rsid w:val="00F41607"/>
    <w:rsid w:val="00F51619"/>
    <w:rsid w:val="00F55305"/>
    <w:rsid w:val="00F604BD"/>
    <w:rsid w:val="00F60834"/>
    <w:rsid w:val="00F62D32"/>
    <w:rsid w:val="00F7036E"/>
    <w:rsid w:val="00F731BD"/>
    <w:rsid w:val="00F849B0"/>
    <w:rsid w:val="00FA20DC"/>
    <w:rsid w:val="00FB50CE"/>
    <w:rsid w:val="00FC1A61"/>
    <w:rsid w:val="00FC1FD2"/>
    <w:rsid w:val="00FC62B5"/>
    <w:rsid w:val="24BE79AA"/>
    <w:rsid w:val="250068FF"/>
    <w:rsid w:val="37891055"/>
    <w:rsid w:val="39755ECC"/>
    <w:rsid w:val="3EBC6A81"/>
    <w:rsid w:val="542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spacing w:after="160" w:line="259" w:lineRule="auto"/>
    </w:pPr>
    <w:rPr>
      <w:rFonts w:ascii="Times New Roman" w:hAnsi="Times New Roman" w:eastAsia="SimSun" w:cs="Mangal"/>
      <w:kern w:val="2"/>
      <w:sz w:val="24"/>
      <w:szCs w:val="24"/>
      <w:lang w:val="ru-RU" w:eastAsia="hi-I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character" w:styleId="5">
    <w:name w:val="Hyperlink"/>
    <w:basedOn w:val="2"/>
    <w:unhideWhenUsed/>
    <w:uiPriority w:val="99"/>
    <w:rPr>
      <w:color w:val="0000FF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semiHidden/>
    <w:unhideWhenUsed/>
    <w:qFormat/>
    <w:uiPriority w:val="99"/>
    <w:rPr>
      <w:rFonts w:ascii="Segoe UI" w:hAnsi="Segoe UI"/>
      <w:sz w:val="18"/>
      <w:szCs w:val="16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</w:rPr>
  </w:style>
  <w:style w:type="paragraph" w:styleId="9">
    <w:name w:val="annotation text"/>
    <w:basedOn w:val="1"/>
    <w:link w:val="35"/>
    <w:semiHidden/>
    <w:unhideWhenUsed/>
    <w:uiPriority w:val="99"/>
    <w:pPr>
      <w:spacing w:after="0" w:line="240" w:lineRule="auto"/>
    </w:pPr>
    <w:rPr>
      <w:sz w:val="20"/>
      <w:szCs w:val="18"/>
      <w:lang w:eastAsia="zh-CN"/>
    </w:rPr>
  </w:style>
  <w:style w:type="paragraph" w:styleId="10">
    <w:name w:val="index 1"/>
    <w:basedOn w:val="1"/>
    <w:next w:val="1"/>
    <w:semiHidden/>
    <w:unhideWhenUsed/>
    <w:uiPriority w:val="99"/>
  </w:style>
  <w:style w:type="paragraph" w:styleId="11">
    <w:name w:val="header"/>
    <w:basedOn w:val="1"/>
    <w:qFormat/>
    <w:uiPriority w:val="0"/>
    <w:pPr>
      <w:suppressLineNumbers/>
      <w:tabs>
        <w:tab w:val="center" w:pos="4535"/>
        <w:tab w:val="right" w:pos="9071"/>
      </w:tabs>
    </w:pPr>
  </w:style>
  <w:style w:type="paragraph" w:styleId="12">
    <w:name w:val="Body Text"/>
    <w:basedOn w:val="1"/>
    <w:uiPriority w:val="0"/>
    <w:pPr>
      <w:widowControl/>
      <w:spacing w:after="120"/>
    </w:pPr>
    <w:rPr>
      <w:rFonts w:eastAsia="Times New Roman" w:cs="Times New Roman"/>
      <w:lang w:eastAsia="ar-SA" w:bidi="ar-SA"/>
    </w:rPr>
  </w:style>
  <w:style w:type="paragraph" w:styleId="13">
    <w:name w:val="index heading"/>
    <w:basedOn w:val="1"/>
    <w:next w:val="10"/>
    <w:qFormat/>
    <w:uiPriority w:val="0"/>
    <w:pPr>
      <w:suppressLineNumbers/>
    </w:pPr>
    <w:rPr>
      <w:rFonts w:cs="Lucida Sans"/>
    </w:rPr>
  </w:style>
  <w:style w:type="paragraph" w:styleId="14">
    <w:name w:val="Title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5">
    <w:name w:val="footer"/>
    <w:basedOn w:val="1"/>
    <w:unhideWhenUsed/>
    <w:qFormat/>
    <w:uiPriority w:val="99"/>
    <w:pPr>
      <w:tabs>
        <w:tab w:val="center" w:pos="4677"/>
        <w:tab w:val="right" w:pos="9355"/>
      </w:tabs>
    </w:pPr>
    <w:rPr>
      <w:szCs w:val="21"/>
    </w:rPr>
  </w:style>
  <w:style w:type="paragraph" w:styleId="16">
    <w:name w:val="List"/>
    <w:basedOn w:val="12"/>
    <w:qFormat/>
    <w:uiPriority w:val="0"/>
    <w:rPr>
      <w:rFonts w:cs="Lucida Sans"/>
    </w:rPr>
  </w:style>
  <w:style w:type="paragraph" w:styleId="17">
    <w:name w:val="Normal (Web)"/>
    <w:basedOn w:val="1"/>
    <w:unhideWhenUsed/>
    <w:qFormat/>
    <w:uiPriority w:val="99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table" w:styleId="1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Верхний колонтитул Знак"/>
    <w:basedOn w:val="2"/>
    <w:qFormat/>
    <w:uiPriority w:val="0"/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character" w:customStyle="1" w:styleId="20">
    <w:name w:val="Абзац списка Знак"/>
    <w:qFormat/>
    <w:locked/>
    <w:uiPriority w:val="1"/>
    <w:rPr>
      <w:rFonts w:ascii="Arial Unicode MS" w:hAnsi="Arial Unicode MS" w:eastAsia="Arial Unicode MS" w:cs="Arial Unicode MS"/>
      <w:color w:val="000000"/>
      <w:sz w:val="24"/>
      <w:szCs w:val="24"/>
      <w:lang w:bidi="ru-RU"/>
    </w:rPr>
  </w:style>
  <w:style w:type="character" w:customStyle="1" w:styleId="21">
    <w:name w:val="Текст выноски Знак"/>
    <w:basedOn w:val="2"/>
    <w:semiHidden/>
    <w:qFormat/>
    <w:uiPriority w:val="99"/>
    <w:rPr>
      <w:rFonts w:ascii="Segoe UI" w:hAnsi="Segoe UI" w:eastAsia="SimSun" w:cs="Mangal"/>
      <w:kern w:val="2"/>
      <w:sz w:val="18"/>
      <w:szCs w:val="16"/>
      <w:lang w:eastAsia="hi-IN" w:bidi="hi-IN"/>
    </w:rPr>
  </w:style>
  <w:style w:type="character" w:customStyle="1" w:styleId="22">
    <w:name w:val="Нижний колонтитул Знак"/>
    <w:basedOn w:val="2"/>
    <w:qFormat/>
    <w:uiPriority w:val="99"/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character" w:customStyle="1" w:styleId="23">
    <w:name w:val="Основной текст Знак"/>
    <w:basedOn w:val="2"/>
    <w:qFormat/>
    <w:uiPriority w:val="0"/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character" w:customStyle="1" w:styleId="24">
    <w:name w:val="Интернет-ссылка"/>
    <w:uiPriority w:val="0"/>
    <w:rPr>
      <w:color w:val="000080"/>
      <w:u w:val="single"/>
    </w:rPr>
  </w:style>
  <w:style w:type="character" w:customStyle="1" w:styleId="25">
    <w:name w:val="Выделение жирным"/>
    <w:qFormat/>
    <w:uiPriority w:val="0"/>
    <w:rPr>
      <w:b/>
      <w:bCs/>
    </w:rPr>
  </w:style>
  <w:style w:type="paragraph" w:customStyle="1" w:styleId="26">
    <w:name w:val="Верхний и нижний колонтитулы"/>
    <w:basedOn w:val="1"/>
    <w:qFormat/>
    <w:uiPriority w:val="0"/>
  </w:style>
  <w:style w:type="paragraph" w:customStyle="1" w:styleId="27">
    <w:name w:val="Колонтитул письма"/>
    <w:basedOn w:val="1"/>
    <w:qFormat/>
    <w:uiPriority w:val="0"/>
    <w:pPr>
      <w:jc w:val="right"/>
    </w:pPr>
    <w:rPr>
      <w:rFonts w:ascii="PFDinTextCondPro-Regular" w:hAnsi="PFDinTextCondPro-Regular"/>
      <w:sz w:val="18"/>
      <w:szCs w:val="18"/>
      <w:lang w:val="en-US"/>
    </w:rPr>
  </w:style>
  <w:style w:type="paragraph" w:customStyle="1" w:styleId="28">
    <w:name w:val="Пункт"/>
    <w:basedOn w:val="1"/>
    <w:qFormat/>
    <w:uiPriority w:val="0"/>
    <w:pPr>
      <w:widowControl/>
      <w:tabs>
        <w:tab w:val="left" w:pos="1080"/>
      </w:tabs>
      <w:suppressAutoHyphens w:val="0"/>
      <w:ind w:left="792" w:hanging="432"/>
      <w:jc w:val="both"/>
    </w:pPr>
    <w:rPr>
      <w:rFonts w:eastAsia="Times New Roman" w:cs="Times New Roman"/>
      <w:kern w:val="0"/>
      <w:lang w:eastAsia="ru-RU" w:bidi="ar-SA"/>
    </w:rPr>
  </w:style>
  <w:style w:type="paragraph" w:styleId="29">
    <w:name w:val="List Paragraph"/>
    <w:basedOn w:val="1"/>
    <w:qFormat/>
    <w:uiPriority w:val="1"/>
    <w:pPr>
      <w:suppressAutoHyphens w:val="0"/>
      <w:ind w:left="720"/>
      <w:contextualSpacing/>
    </w:pPr>
    <w:rPr>
      <w:rFonts w:ascii="Arial Unicode MS" w:hAnsi="Arial Unicode MS" w:eastAsia="Arial Unicode MS" w:cs="Arial Unicode MS"/>
      <w:color w:val="000000"/>
      <w:kern w:val="0"/>
      <w:lang w:bidi="ru-RU"/>
    </w:rPr>
  </w:style>
  <w:style w:type="paragraph" w:styleId="30">
    <w:name w:val="No Spacing"/>
    <w:qFormat/>
    <w:uiPriority w:val="0"/>
    <w:pPr>
      <w:suppressAutoHyphens/>
      <w:spacing w:after="160" w:line="259" w:lineRule="auto"/>
    </w:pPr>
    <w:rPr>
      <w:rFonts w:cs="Calibri" w:asciiTheme="minorHAnsi" w:hAnsiTheme="minorHAnsi" w:eastAsiaTheme="minorHAnsi"/>
      <w:sz w:val="22"/>
      <w:szCs w:val="22"/>
      <w:lang w:val="ru-RU" w:eastAsia="zh-CN" w:bidi="ar-SA"/>
    </w:rPr>
  </w:style>
  <w:style w:type="paragraph" w:customStyle="1" w:styleId="31">
    <w:name w:val="Текст письма"/>
    <w:basedOn w:val="1"/>
    <w:qFormat/>
    <w:uiPriority w:val="0"/>
    <w:pPr>
      <w:spacing w:after="170"/>
      <w:ind w:firstLine="283"/>
      <w:jc w:val="both"/>
    </w:pPr>
    <w:rPr>
      <w:rFonts w:ascii="PFDinTextCondPro-Regular" w:hAnsi="PFDinTextCondPro-Regular"/>
      <w:lang w:val="en-US"/>
    </w:rPr>
  </w:style>
  <w:style w:type="character" w:customStyle="1" w:styleId="32">
    <w:name w:val="extended-text__short"/>
    <w:basedOn w:val="2"/>
    <w:uiPriority w:val="0"/>
  </w:style>
  <w:style w:type="character" w:customStyle="1" w:styleId="33">
    <w:name w:val="WW8Num3z6"/>
    <w:uiPriority w:val="0"/>
  </w:style>
  <w:style w:type="character" w:customStyle="1" w:styleId="34">
    <w:name w:val="blk"/>
    <w:basedOn w:val="2"/>
    <w:uiPriority w:val="0"/>
  </w:style>
  <w:style w:type="character" w:customStyle="1" w:styleId="35">
    <w:name w:val="Текст примечания Знак"/>
    <w:basedOn w:val="2"/>
    <w:link w:val="9"/>
    <w:semiHidden/>
    <w:uiPriority w:val="99"/>
    <w:rPr>
      <w:rFonts w:cs="Mangal"/>
      <w:kern w:val="2"/>
      <w:szCs w:val="18"/>
      <w:lang w:eastAsia="zh-CN" w:bidi="hi-IN"/>
    </w:rPr>
  </w:style>
  <w:style w:type="character" w:customStyle="1" w:styleId="3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240D8-22E2-4AFD-A286-F7AE08DDCA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5425</Words>
  <Characters>30923</Characters>
  <Lines>257</Lines>
  <Paragraphs>72</Paragraphs>
  <TotalTime>1</TotalTime>
  <ScaleCrop>false</ScaleCrop>
  <LinksUpToDate>false</LinksUpToDate>
  <CharactersWithSpaces>36276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2023-09-19T09:21:00Z</dcterms:created>
  <dc:creator>ЛуценкоОП</dc:creator>
  <cp:lastModifiedBy>Порхулева Людмила</cp:lastModifiedBy>
  <cp:lastPrinted>2020-06-02T09:04:00Z</cp:lastPrinted>
  <dcterms:modified xsi:type="dcterms:W3CDTF">2023-10-11T09:38:58Z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1049-12.2.0.13215</vt:lpwstr>
  </property>
  <property fmtid="{D5CDD505-2E9C-101B-9397-08002B2CF9AE}" pid="9" name="ICV">
    <vt:lpwstr>DA790E81CF074ACE8E5BF9CCACD6AF96_12</vt:lpwstr>
  </property>
</Properties>
</file>